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8EEDFC" w14:textId="77777777" w:rsidR="00E226EF" w:rsidRPr="00E226EF" w:rsidRDefault="00E226EF" w:rsidP="00E226EF">
      <w:pPr>
        <w:spacing w:before="100" w:beforeAutospacing="1" w:after="100" w:afterAutospacing="1"/>
        <w:outlineLvl w:val="0"/>
        <w:rPr>
          <w:rFonts w:eastAsia="Times New Roman" w:cs="Times New Roman"/>
          <w:b/>
          <w:bCs/>
          <w:kern w:val="36"/>
          <w:sz w:val="48"/>
          <w:szCs w:val="48"/>
          <w:lang w:eastAsia="en-GB"/>
          <w14:ligatures w14:val="none"/>
        </w:rPr>
      </w:pPr>
      <w:r w:rsidRPr="00E226EF">
        <w:rPr>
          <w:rFonts w:eastAsia="Times New Roman" w:cs="Times New Roman"/>
          <w:b/>
          <w:bCs/>
          <w:kern w:val="36"/>
          <w:sz w:val="48"/>
          <w:szCs w:val="48"/>
          <w:lang w:eastAsia="en-GB"/>
          <w14:ligatures w14:val="none"/>
        </w:rPr>
        <w:t>Part 1 – Week 7 Testing Readiness</w:t>
      </w:r>
    </w:p>
    <w:p w14:paraId="364CCAC4" w14:textId="77777777" w:rsidR="00E226EF" w:rsidRPr="00E226EF" w:rsidRDefault="00E226EF" w:rsidP="00E226EF">
      <w:pPr>
        <w:spacing w:before="100" w:beforeAutospacing="1" w:after="100" w:afterAutospacing="1"/>
        <w:outlineLvl w:val="1"/>
        <w:rPr>
          <w:rFonts w:eastAsia="Times New Roman" w:cs="Times New Roman"/>
          <w:b/>
          <w:bCs/>
          <w:kern w:val="0"/>
          <w:sz w:val="36"/>
          <w:szCs w:val="36"/>
          <w:lang w:eastAsia="en-GB"/>
          <w14:ligatures w14:val="none"/>
        </w:rPr>
      </w:pPr>
      <w:r w:rsidRPr="00E226EF">
        <w:rPr>
          <w:rFonts w:eastAsia="Times New Roman" w:cs="Times New Roman"/>
          <w:b/>
          <w:bCs/>
          <w:kern w:val="0"/>
          <w:sz w:val="36"/>
          <w:szCs w:val="36"/>
          <w:lang w:eastAsia="en-GB"/>
          <w14:ligatures w14:val="none"/>
        </w:rPr>
        <w:t>A. Component to Be Tested</w:t>
      </w:r>
    </w:p>
    <w:p w14:paraId="3B0BA289" w14:textId="77777777" w:rsidR="00E226EF" w:rsidRPr="00E226EF" w:rsidRDefault="00E226EF" w:rsidP="00E226EF">
      <w:pPr>
        <w:spacing w:before="100" w:beforeAutospacing="1" w:after="100" w:afterAutospacing="1"/>
        <w:rPr>
          <w:rFonts w:eastAsia="Times New Roman" w:cs="Times New Roman"/>
          <w:kern w:val="0"/>
          <w:lang w:eastAsia="en-GB"/>
          <w14:ligatures w14:val="none"/>
        </w:rPr>
      </w:pPr>
      <w:r w:rsidRPr="00E226EF">
        <w:rPr>
          <w:rFonts w:eastAsia="Times New Roman" w:cs="Times New Roman"/>
          <w:kern w:val="0"/>
          <w:lang w:eastAsia="en-GB"/>
          <w14:ligatures w14:val="none"/>
        </w:rPr>
        <w:t>The primary component to be tested is the advanced analytics dashboard and the analytical outputs developed during Week 6. These include the validated KPIs, business insights, patient risk classification, and recommendations designed to support HealthConnect Clinic in reducing missed appointments.</w:t>
      </w:r>
    </w:p>
    <w:p w14:paraId="486739BC" w14:textId="77777777" w:rsidR="00E226EF" w:rsidRPr="00E226EF" w:rsidRDefault="00E226EF" w:rsidP="00E226EF">
      <w:pPr>
        <w:spacing w:before="100" w:beforeAutospacing="1" w:after="100" w:afterAutospacing="1"/>
        <w:rPr>
          <w:rFonts w:eastAsia="Times New Roman" w:cs="Times New Roman"/>
          <w:kern w:val="0"/>
          <w:lang w:eastAsia="en-GB"/>
          <w14:ligatures w14:val="none"/>
        </w:rPr>
      </w:pPr>
      <w:r w:rsidRPr="00E226EF">
        <w:rPr>
          <w:rFonts w:eastAsia="Times New Roman" w:cs="Times New Roman"/>
          <w:kern w:val="0"/>
          <w:lang w:eastAsia="en-GB"/>
          <w14:ligatures w14:val="none"/>
        </w:rPr>
        <w:t>The intended purpose of these analytical outputs is to provide accurate and reliable decision-support information that helps identify patterns associated with appointment attendance and no-show behaviour. They should also provide evidence that can inform operational decisions and support the Data Science track in developing predictive models.</w:t>
      </w:r>
    </w:p>
    <w:p w14:paraId="3B1EC494" w14:textId="77777777" w:rsidR="00E226EF" w:rsidRPr="00E226EF" w:rsidRDefault="00E226EF" w:rsidP="00E226EF">
      <w:pPr>
        <w:spacing w:before="100" w:beforeAutospacing="1" w:after="100" w:afterAutospacing="1"/>
        <w:rPr>
          <w:rFonts w:eastAsia="Times New Roman" w:cs="Times New Roman"/>
          <w:kern w:val="0"/>
          <w:lang w:eastAsia="en-GB"/>
          <w14:ligatures w14:val="none"/>
        </w:rPr>
      </w:pPr>
      <w:r w:rsidRPr="00E226EF">
        <w:rPr>
          <w:rFonts w:eastAsia="Times New Roman" w:cs="Times New Roman"/>
          <w:kern w:val="0"/>
          <w:lang w:eastAsia="en-GB"/>
          <w14:ligatures w14:val="none"/>
        </w:rPr>
        <w:t>The main requirement is that the dashboard accurately represents the underlying appointment data, the KPIs are correctly calculated, and the conclusions drawn from the analysis remain valid after testing.</w:t>
      </w:r>
    </w:p>
    <w:p w14:paraId="26682F18" w14:textId="77777777" w:rsidR="00E226EF" w:rsidRPr="00E226EF" w:rsidRDefault="00E226EF" w:rsidP="00E226EF">
      <w:pPr>
        <w:spacing w:before="100" w:beforeAutospacing="1" w:after="100" w:afterAutospacing="1"/>
        <w:rPr>
          <w:rFonts w:eastAsia="Times New Roman" w:cs="Times New Roman"/>
          <w:kern w:val="0"/>
          <w:lang w:eastAsia="en-GB"/>
          <w14:ligatures w14:val="none"/>
        </w:rPr>
      </w:pPr>
      <w:r w:rsidRPr="00E226EF">
        <w:rPr>
          <w:rFonts w:eastAsia="Times New Roman" w:cs="Times New Roman"/>
          <w:kern w:val="0"/>
          <w:lang w:eastAsia="en-GB"/>
          <w14:ligatures w14:val="none"/>
        </w:rPr>
        <w:t xml:space="preserve">The component is directly connected to the </w:t>
      </w:r>
      <w:r w:rsidRPr="00E226EF">
        <w:rPr>
          <w:rFonts w:eastAsia="Times New Roman" w:cs="Times New Roman"/>
          <w:b/>
          <w:bCs/>
          <w:kern w:val="0"/>
          <w:lang w:eastAsia="en-GB"/>
          <w14:ligatures w14:val="none"/>
        </w:rPr>
        <w:t>Data Science</w:t>
      </w:r>
      <w:r w:rsidRPr="00E226EF">
        <w:rPr>
          <w:rFonts w:eastAsia="Times New Roman" w:cs="Times New Roman"/>
          <w:kern w:val="0"/>
          <w:lang w:eastAsia="en-GB"/>
          <w14:ligatures w14:val="none"/>
        </w:rPr>
        <w:t xml:space="preserve"> track through the use of analytical findings to support feature selection, model refinement and validation.</w:t>
      </w:r>
    </w:p>
    <w:p w14:paraId="05E37095" w14:textId="1DB7265B" w:rsidR="00E226EF" w:rsidRPr="00E226EF" w:rsidRDefault="00E226EF" w:rsidP="00E226EF">
      <w:pPr>
        <w:rPr>
          <w:rFonts w:eastAsia="Times New Roman" w:cs="Times New Roman"/>
          <w:kern w:val="0"/>
          <w:lang w:eastAsia="en-GB"/>
          <w14:ligatures w14:val="none"/>
        </w:rPr>
      </w:pPr>
    </w:p>
    <w:p w14:paraId="0162B4D6" w14:textId="77777777" w:rsidR="00E226EF" w:rsidRPr="00E226EF" w:rsidRDefault="00E226EF" w:rsidP="00E226EF">
      <w:pPr>
        <w:spacing w:before="100" w:beforeAutospacing="1" w:after="100" w:afterAutospacing="1"/>
        <w:outlineLvl w:val="1"/>
        <w:rPr>
          <w:rFonts w:eastAsia="Times New Roman" w:cs="Times New Roman"/>
          <w:b/>
          <w:bCs/>
          <w:kern w:val="0"/>
          <w:sz w:val="36"/>
          <w:szCs w:val="36"/>
          <w:lang w:eastAsia="en-GB"/>
          <w14:ligatures w14:val="none"/>
        </w:rPr>
      </w:pPr>
      <w:r w:rsidRPr="00E226EF">
        <w:rPr>
          <w:rFonts w:eastAsia="Times New Roman" w:cs="Times New Roman"/>
          <w:b/>
          <w:bCs/>
          <w:kern w:val="0"/>
          <w:sz w:val="36"/>
          <w:szCs w:val="36"/>
          <w:lang w:eastAsia="en-GB"/>
          <w14:ligatures w14:val="none"/>
        </w:rPr>
        <w:t>B. Testing Objective</w:t>
      </w:r>
    </w:p>
    <w:p w14:paraId="42C02BC4" w14:textId="77777777" w:rsidR="00E226EF" w:rsidRPr="00E226EF" w:rsidRDefault="00E226EF" w:rsidP="00E226EF">
      <w:pPr>
        <w:spacing w:before="100" w:beforeAutospacing="1" w:after="100" w:afterAutospacing="1"/>
        <w:rPr>
          <w:rFonts w:eastAsia="Times New Roman" w:cs="Times New Roman"/>
          <w:kern w:val="0"/>
          <w:lang w:eastAsia="en-GB"/>
          <w14:ligatures w14:val="none"/>
        </w:rPr>
      </w:pPr>
      <w:r w:rsidRPr="00E226EF">
        <w:rPr>
          <w:rFonts w:eastAsia="Times New Roman" w:cs="Times New Roman"/>
          <w:kern w:val="0"/>
          <w:lang w:eastAsia="en-GB"/>
          <w14:ligatures w14:val="none"/>
        </w:rPr>
        <w:t>The objective of the testing phase is to determine whether the analytical outputs developed during Week 6 are accurate, consistent and suitable for decision-making.</w:t>
      </w:r>
    </w:p>
    <w:p w14:paraId="615BD69E" w14:textId="77777777" w:rsidR="00E226EF" w:rsidRPr="00E226EF" w:rsidRDefault="00E226EF" w:rsidP="00E226EF">
      <w:pPr>
        <w:spacing w:before="100" w:beforeAutospacing="1" w:after="100" w:afterAutospacing="1"/>
        <w:rPr>
          <w:rFonts w:eastAsia="Times New Roman" w:cs="Times New Roman"/>
          <w:kern w:val="0"/>
          <w:lang w:eastAsia="en-GB"/>
          <w14:ligatures w14:val="none"/>
        </w:rPr>
      </w:pPr>
      <w:r w:rsidRPr="00E226EF">
        <w:rPr>
          <w:rFonts w:eastAsia="Times New Roman" w:cs="Times New Roman"/>
          <w:kern w:val="0"/>
          <w:lang w:eastAsia="en-GB"/>
          <w14:ligatures w14:val="none"/>
        </w:rPr>
        <w:t>Specifically, the testing aims to:</w:t>
      </w:r>
    </w:p>
    <w:p w14:paraId="1B455D97" w14:textId="77777777" w:rsidR="00E226EF" w:rsidRPr="00E226EF" w:rsidRDefault="00E226EF" w:rsidP="00E226EF">
      <w:pPr>
        <w:numPr>
          <w:ilvl w:val="0"/>
          <w:numId w:val="1"/>
        </w:numPr>
        <w:spacing w:before="100" w:beforeAutospacing="1" w:after="100" w:afterAutospacing="1"/>
        <w:rPr>
          <w:rFonts w:eastAsia="Times New Roman" w:cs="Times New Roman"/>
          <w:kern w:val="0"/>
          <w:lang w:eastAsia="en-GB"/>
          <w14:ligatures w14:val="none"/>
        </w:rPr>
      </w:pPr>
      <w:r w:rsidRPr="00E226EF">
        <w:rPr>
          <w:rFonts w:eastAsia="Times New Roman" w:cs="Times New Roman"/>
          <w:kern w:val="0"/>
          <w:lang w:eastAsia="en-GB"/>
          <w14:ligatures w14:val="none"/>
        </w:rPr>
        <w:t>Validate the calculations of the key performance indicators.</w:t>
      </w:r>
    </w:p>
    <w:p w14:paraId="4F243CCD" w14:textId="77777777" w:rsidR="00E226EF" w:rsidRPr="00E226EF" w:rsidRDefault="00E226EF" w:rsidP="00E226EF">
      <w:pPr>
        <w:numPr>
          <w:ilvl w:val="0"/>
          <w:numId w:val="1"/>
        </w:numPr>
        <w:spacing w:before="100" w:beforeAutospacing="1" w:after="100" w:afterAutospacing="1"/>
        <w:rPr>
          <w:rFonts w:eastAsia="Times New Roman" w:cs="Times New Roman"/>
          <w:kern w:val="0"/>
          <w:lang w:eastAsia="en-GB"/>
          <w14:ligatures w14:val="none"/>
        </w:rPr>
      </w:pPr>
      <w:r w:rsidRPr="00E226EF">
        <w:rPr>
          <w:rFonts w:eastAsia="Times New Roman" w:cs="Times New Roman"/>
          <w:kern w:val="0"/>
          <w:lang w:eastAsia="en-GB"/>
          <w14:ligatures w14:val="none"/>
        </w:rPr>
        <w:t>Confirm that dashboard values match the underlying dataset.</w:t>
      </w:r>
    </w:p>
    <w:p w14:paraId="3C3D613C" w14:textId="77777777" w:rsidR="00E226EF" w:rsidRPr="00E226EF" w:rsidRDefault="00E226EF" w:rsidP="00E226EF">
      <w:pPr>
        <w:numPr>
          <w:ilvl w:val="0"/>
          <w:numId w:val="1"/>
        </w:numPr>
        <w:spacing w:before="100" w:beforeAutospacing="1" w:after="100" w:afterAutospacing="1"/>
        <w:rPr>
          <w:rFonts w:eastAsia="Times New Roman" w:cs="Times New Roman"/>
          <w:kern w:val="0"/>
          <w:lang w:eastAsia="en-GB"/>
          <w14:ligatures w14:val="none"/>
        </w:rPr>
      </w:pPr>
      <w:r w:rsidRPr="00E226EF">
        <w:rPr>
          <w:rFonts w:eastAsia="Times New Roman" w:cs="Times New Roman"/>
          <w:kern w:val="0"/>
          <w:lang w:eastAsia="en-GB"/>
          <w14:ligatures w14:val="none"/>
        </w:rPr>
        <w:t>Verify that the main analytical findings remain consistent across relevant patient and appointment segments.</w:t>
      </w:r>
    </w:p>
    <w:p w14:paraId="19C80FB1" w14:textId="77777777" w:rsidR="00E226EF" w:rsidRPr="00E226EF" w:rsidRDefault="00E226EF" w:rsidP="00E226EF">
      <w:pPr>
        <w:numPr>
          <w:ilvl w:val="0"/>
          <w:numId w:val="1"/>
        </w:numPr>
        <w:spacing w:before="100" w:beforeAutospacing="1" w:after="100" w:afterAutospacing="1"/>
        <w:rPr>
          <w:rFonts w:eastAsia="Times New Roman" w:cs="Times New Roman"/>
          <w:kern w:val="0"/>
          <w:lang w:eastAsia="en-GB"/>
          <w14:ligatures w14:val="none"/>
        </w:rPr>
      </w:pPr>
      <w:r w:rsidRPr="00E226EF">
        <w:rPr>
          <w:rFonts w:eastAsia="Times New Roman" w:cs="Times New Roman"/>
          <w:kern w:val="0"/>
          <w:lang w:eastAsia="en-GB"/>
          <w14:ligatures w14:val="none"/>
        </w:rPr>
        <w:t>Assess whether the business recommendations remain appropriate following validation.</w:t>
      </w:r>
    </w:p>
    <w:p w14:paraId="2B0ECB6C" w14:textId="77777777" w:rsidR="00E226EF" w:rsidRDefault="00E226EF" w:rsidP="00E226EF">
      <w:pPr>
        <w:numPr>
          <w:ilvl w:val="0"/>
          <w:numId w:val="1"/>
        </w:numPr>
        <w:spacing w:before="100" w:beforeAutospacing="1" w:after="100" w:afterAutospacing="1"/>
        <w:rPr>
          <w:rFonts w:eastAsia="Times New Roman" w:cs="Times New Roman"/>
          <w:kern w:val="0"/>
          <w:lang w:eastAsia="en-GB"/>
          <w14:ligatures w14:val="none"/>
        </w:rPr>
      </w:pPr>
      <w:r w:rsidRPr="00E226EF">
        <w:rPr>
          <w:rFonts w:eastAsia="Times New Roman" w:cs="Times New Roman"/>
          <w:kern w:val="0"/>
          <w:lang w:eastAsia="en-GB"/>
          <w14:ligatures w14:val="none"/>
        </w:rPr>
        <w:t>Determine whether the analytical findings support predictive modelling through collaboration with the Data Science track.</w:t>
      </w:r>
    </w:p>
    <w:p w14:paraId="47489FCA" w14:textId="77777777" w:rsidR="00E226EF" w:rsidRDefault="00E226EF" w:rsidP="00E226EF">
      <w:pPr>
        <w:spacing w:before="100" w:beforeAutospacing="1" w:after="100" w:afterAutospacing="1"/>
        <w:rPr>
          <w:rFonts w:eastAsia="Times New Roman" w:cs="Times New Roman"/>
          <w:kern w:val="0"/>
          <w:lang w:eastAsia="en-GB"/>
          <w14:ligatures w14:val="none"/>
        </w:rPr>
      </w:pPr>
    </w:p>
    <w:p w14:paraId="57FCFC6F" w14:textId="77777777" w:rsidR="00E226EF" w:rsidRDefault="00E226EF" w:rsidP="00E226EF">
      <w:pPr>
        <w:spacing w:before="100" w:beforeAutospacing="1" w:after="100" w:afterAutospacing="1"/>
        <w:rPr>
          <w:rFonts w:eastAsia="Times New Roman" w:cs="Times New Roman"/>
          <w:kern w:val="0"/>
          <w:lang w:eastAsia="en-GB"/>
          <w14:ligatures w14:val="none"/>
        </w:rPr>
      </w:pPr>
    </w:p>
    <w:p w14:paraId="5D9D4714" w14:textId="77777777" w:rsidR="00F70E85" w:rsidRDefault="00F70E85" w:rsidP="00E226EF">
      <w:pPr>
        <w:spacing w:before="100" w:beforeAutospacing="1" w:after="100" w:afterAutospacing="1"/>
        <w:rPr>
          <w:rFonts w:eastAsia="Times New Roman" w:cs="Times New Roman"/>
          <w:kern w:val="0"/>
          <w:lang w:eastAsia="en-GB"/>
          <w14:ligatures w14:val="none"/>
        </w:rPr>
      </w:pPr>
    </w:p>
    <w:p w14:paraId="626F2A22" w14:textId="77777777"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lastRenderedPageBreak/>
        <w:t>Test 1 – KPI Validation</w:t>
      </w:r>
    </w:p>
    <w:p w14:paraId="5DB04C3E" w14:textId="77777777"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Testing Objective</w:t>
      </w:r>
    </w:p>
    <w:p w14:paraId="4F69C3F5"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The objective of this test was to verify that the key performance indicators (KPIs) developed during Week 6 were accurately calculated, consistent with the underlying dataset and suitable for decision-making.</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0"/>
        <w:gridCol w:w="5149"/>
        <w:gridCol w:w="1108"/>
        <w:gridCol w:w="949"/>
      </w:tblGrid>
      <w:tr w:rsidR="00F70E85" w:rsidRPr="00F70E85" w14:paraId="7AE9E29C" w14:textId="77777777" w:rsidTr="00F70E85">
        <w:trPr>
          <w:tblHeader/>
          <w:tblCellSpacing w:w="15" w:type="dxa"/>
        </w:trPr>
        <w:tc>
          <w:tcPr>
            <w:tcW w:w="0" w:type="auto"/>
            <w:vAlign w:val="center"/>
            <w:hideMark/>
          </w:tcPr>
          <w:p w14:paraId="278F7B40" w14:textId="77777777"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KPI</w:t>
            </w:r>
          </w:p>
        </w:tc>
        <w:tc>
          <w:tcPr>
            <w:tcW w:w="0" w:type="auto"/>
            <w:vAlign w:val="center"/>
            <w:hideMark/>
          </w:tcPr>
          <w:p w14:paraId="467819A5" w14:textId="77777777"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Expected Result</w:t>
            </w:r>
          </w:p>
        </w:tc>
        <w:tc>
          <w:tcPr>
            <w:tcW w:w="0" w:type="auto"/>
            <w:vAlign w:val="center"/>
            <w:hideMark/>
          </w:tcPr>
          <w:p w14:paraId="087CAF27" w14:textId="77777777"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Actual Result</w:t>
            </w:r>
          </w:p>
        </w:tc>
        <w:tc>
          <w:tcPr>
            <w:tcW w:w="0" w:type="auto"/>
            <w:vAlign w:val="center"/>
            <w:hideMark/>
          </w:tcPr>
          <w:p w14:paraId="32582756" w14:textId="77777777"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Status</w:t>
            </w:r>
          </w:p>
        </w:tc>
      </w:tr>
      <w:tr w:rsidR="00F70E85" w:rsidRPr="00F70E85" w14:paraId="4E06E25E" w14:textId="77777777" w:rsidTr="00F70E85">
        <w:trPr>
          <w:tblCellSpacing w:w="15" w:type="dxa"/>
        </w:trPr>
        <w:tc>
          <w:tcPr>
            <w:tcW w:w="0" w:type="auto"/>
            <w:vAlign w:val="center"/>
            <w:hideMark/>
          </w:tcPr>
          <w:p w14:paraId="79A768BD"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Attendance Rate</w:t>
            </w:r>
          </w:p>
        </w:tc>
        <w:tc>
          <w:tcPr>
            <w:tcW w:w="0" w:type="auto"/>
            <w:vAlign w:val="center"/>
            <w:hideMark/>
          </w:tcPr>
          <w:p w14:paraId="266A146C"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Correctly represents the proportion of attended appointments.</w:t>
            </w:r>
          </w:p>
        </w:tc>
        <w:tc>
          <w:tcPr>
            <w:tcW w:w="0" w:type="auto"/>
            <w:vAlign w:val="center"/>
            <w:hideMark/>
          </w:tcPr>
          <w:p w14:paraId="4E9E2D27"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b/>
                <w:bCs/>
                <w:kern w:val="0"/>
                <w:lang w:eastAsia="en-GB"/>
                <w14:ligatures w14:val="none"/>
              </w:rPr>
              <w:t>46.28%</w:t>
            </w:r>
          </w:p>
        </w:tc>
        <w:tc>
          <w:tcPr>
            <w:tcW w:w="0" w:type="auto"/>
            <w:vAlign w:val="center"/>
            <w:hideMark/>
          </w:tcPr>
          <w:p w14:paraId="25371AAB"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r w:rsidR="00F70E85" w:rsidRPr="00F70E85" w14:paraId="4168E57C" w14:textId="77777777" w:rsidTr="00F70E85">
        <w:trPr>
          <w:tblCellSpacing w:w="15" w:type="dxa"/>
        </w:trPr>
        <w:tc>
          <w:tcPr>
            <w:tcW w:w="0" w:type="auto"/>
            <w:vAlign w:val="center"/>
            <w:hideMark/>
          </w:tcPr>
          <w:p w14:paraId="79271E97"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No Show Rate</w:t>
            </w:r>
          </w:p>
        </w:tc>
        <w:tc>
          <w:tcPr>
            <w:tcW w:w="0" w:type="auto"/>
            <w:vAlign w:val="center"/>
            <w:hideMark/>
          </w:tcPr>
          <w:p w14:paraId="6CCD7D04"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Correctly represents the proportion of missed appointments.</w:t>
            </w:r>
          </w:p>
        </w:tc>
        <w:tc>
          <w:tcPr>
            <w:tcW w:w="0" w:type="auto"/>
            <w:vAlign w:val="center"/>
            <w:hideMark/>
          </w:tcPr>
          <w:p w14:paraId="2241ED87"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b/>
                <w:bCs/>
                <w:kern w:val="0"/>
                <w:lang w:eastAsia="en-GB"/>
                <w14:ligatures w14:val="none"/>
              </w:rPr>
              <w:t>48.46%</w:t>
            </w:r>
          </w:p>
        </w:tc>
        <w:tc>
          <w:tcPr>
            <w:tcW w:w="0" w:type="auto"/>
            <w:vAlign w:val="center"/>
            <w:hideMark/>
          </w:tcPr>
          <w:p w14:paraId="56421D3F"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r w:rsidR="00F70E85" w:rsidRPr="00F70E85" w14:paraId="6C8954CE" w14:textId="77777777" w:rsidTr="00F70E85">
        <w:trPr>
          <w:tblCellSpacing w:w="15" w:type="dxa"/>
        </w:trPr>
        <w:tc>
          <w:tcPr>
            <w:tcW w:w="0" w:type="auto"/>
            <w:vAlign w:val="center"/>
            <w:hideMark/>
          </w:tcPr>
          <w:p w14:paraId="70389997"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Cancellation Rate</w:t>
            </w:r>
          </w:p>
        </w:tc>
        <w:tc>
          <w:tcPr>
            <w:tcW w:w="0" w:type="auto"/>
            <w:vAlign w:val="center"/>
            <w:hideMark/>
          </w:tcPr>
          <w:p w14:paraId="46692400"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Correctly represents the proportion of cancelled appointments.</w:t>
            </w:r>
          </w:p>
        </w:tc>
        <w:tc>
          <w:tcPr>
            <w:tcW w:w="0" w:type="auto"/>
            <w:vAlign w:val="center"/>
            <w:hideMark/>
          </w:tcPr>
          <w:p w14:paraId="4A96EE70"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b/>
                <w:bCs/>
                <w:kern w:val="0"/>
                <w:lang w:eastAsia="en-GB"/>
                <w14:ligatures w14:val="none"/>
              </w:rPr>
              <w:t>5.26%</w:t>
            </w:r>
          </w:p>
        </w:tc>
        <w:tc>
          <w:tcPr>
            <w:tcW w:w="0" w:type="auto"/>
            <w:vAlign w:val="center"/>
            <w:hideMark/>
          </w:tcPr>
          <w:p w14:paraId="1B4621BF"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r w:rsidR="00F70E85" w:rsidRPr="00F70E85" w14:paraId="2CFADA52" w14:textId="77777777" w:rsidTr="00F70E85">
        <w:trPr>
          <w:tblCellSpacing w:w="15" w:type="dxa"/>
        </w:trPr>
        <w:tc>
          <w:tcPr>
            <w:tcW w:w="0" w:type="auto"/>
            <w:vAlign w:val="center"/>
            <w:hideMark/>
          </w:tcPr>
          <w:p w14:paraId="6B875A6B"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Reminder Success Rate</w:t>
            </w:r>
          </w:p>
        </w:tc>
        <w:tc>
          <w:tcPr>
            <w:tcW w:w="0" w:type="auto"/>
            <w:vAlign w:val="center"/>
            <w:hideMark/>
          </w:tcPr>
          <w:p w14:paraId="42A4B72D"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Correctly measures the attendance rate for patients who received reminders.</w:t>
            </w:r>
          </w:p>
        </w:tc>
        <w:tc>
          <w:tcPr>
            <w:tcW w:w="0" w:type="auto"/>
            <w:vAlign w:val="center"/>
            <w:hideMark/>
          </w:tcPr>
          <w:p w14:paraId="44142060"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b/>
                <w:bCs/>
                <w:kern w:val="0"/>
                <w:lang w:eastAsia="en-GB"/>
                <w14:ligatures w14:val="none"/>
              </w:rPr>
              <w:t>47.63%</w:t>
            </w:r>
          </w:p>
        </w:tc>
        <w:tc>
          <w:tcPr>
            <w:tcW w:w="0" w:type="auto"/>
            <w:vAlign w:val="center"/>
            <w:hideMark/>
          </w:tcPr>
          <w:p w14:paraId="532AD359"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r w:rsidR="00F70E85" w:rsidRPr="00F70E85" w14:paraId="044872D0" w14:textId="77777777" w:rsidTr="00F70E85">
        <w:trPr>
          <w:tblCellSpacing w:w="15" w:type="dxa"/>
        </w:trPr>
        <w:tc>
          <w:tcPr>
            <w:tcW w:w="0" w:type="auto"/>
            <w:vAlign w:val="center"/>
            <w:hideMark/>
          </w:tcPr>
          <w:p w14:paraId="2E963F3A"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Repeat No Show Rate</w:t>
            </w:r>
          </w:p>
        </w:tc>
        <w:tc>
          <w:tcPr>
            <w:tcW w:w="0" w:type="auto"/>
            <w:vAlign w:val="center"/>
            <w:hideMark/>
          </w:tcPr>
          <w:p w14:paraId="550459D4"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Correctly measures the proportion of patients with previous no-show history who missed another appointment.</w:t>
            </w:r>
          </w:p>
        </w:tc>
        <w:tc>
          <w:tcPr>
            <w:tcW w:w="0" w:type="auto"/>
            <w:vAlign w:val="center"/>
            <w:hideMark/>
          </w:tcPr>
          <w:p w14:paraId="22F6F7FA"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b/>
                <w:bCs/>
                <w:kern w:val="0"/>
                <w:lang w:eastAsia="en-GB"/>
                <w14:ligatures w14:val="none"/>
              </w:rPr>
              <w:t>55.41%</w:t>
            </w:r>
          </w:p>
        </w:tc>
        <w:tc>
          <w:tcPr>
            <w:tcW w:w="0" w:type="auto"/>
            <w:vAlign w:val="center"/>
            <w:hideMark/>
          </w:tcPr>
          <w:p w14:paraId="7794031D"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bl>
    <w:p w14:paraId="657CC6C9" w14:textId="57DC9CC7"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Validation Results</w:t>
      </w:r>
      <w:r>
        <w:rPr>
          <w:rFonts w:eastAsia="Times New Roman" w:cs="Times New Roman"/>
          <w:b/>
          <w:bCs/>
          <w:kern w:val="0"/>
          <w:lang w:eastAsia="en-GB"/>
          <w14:ligatures w14:val="none"/>
        </w:rPr>
        <w:t xml:space="preserve">: </w:t>
      </w:r>
      <w:r w:rsidRPr="00F70E85">
        <w:rPr>
          <w:rFonts w:eastAsia="Times New Roman" w:cs="Times New Roman"/>
          <w:kern w:val="0"/>
          <w:lang w:eastAsia="en-GB"/>
          <w14:ligatures w14:val="none"/>
        </w:rPr>
        <w:t>The KPI calculations were reviewed against the underlying dataset and the corresponding DAX measures used within the dashboard. The attendance, no-show and cancellation rates collectively accounted for all appointment outcomes, indicating that the calculations were internally consistent.</w:t>
      </w:r>
    </w:p>
    <w:p w14:paraId="7EE2EA9A"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The behavioural KPIs, including Reminder Success Rate and Repeat No-Show Rate, also produced values that aligned with the analytical findings established during Week 6. No calculation errors or inconsistencies were identified during testing.</w:t>
      </w:r>
    </w:p>
    <w:p w14:paraId="0E50EA25" w14:textId="3048A1A5"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Action Taken</w:t>
      </w:r>
      <w:r>
        <w:rPr>
          <w:rFonts w:eastAsia="Times New Roman" w:cs="Times New Roman"/>
          <w:b/>
          <w:bCs/>
          <w:kern w:val="0"/>
          <w:lang w:eastAsia="en-GB"/>
          <w14:ligatures w14:val="none"/>
        </w:rPr>
        <w:t xml:space="preserve">: </w:t>
      </w:r>
      <w:r w:rsidRPr="00F70E85">
        <w:rPr>
          <w:rFonts w:eastAsia="Times New Roman" w:cs="Times New Roman"/>
          <w:kern w:val="0"/>
          <w:lang w:eastAsia="en-GB"/>
          <w14:ligatures w14:val="none"/>
        </w:rPr>
        <w:t>No modifications to the KPI calculations were required, as all measures produced consistent and reliable results during testing.</w:t>
      </w:r>
    </w:p>
    <w:p w14:paraId="375F5CC2" w14:textId="6F51D53C" w:rsid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b/>
          <w:bCs/>
          <w:kern w:val="0"/>
          <w:lang w:eastAsia="en-GB"/>
          <w14:ligatures w14:val="none"/>
        </w:rPr>
        <w:t>Retest Result</w:t>
      </w:r>
      <w:r>
        <w:rPr>
          <w:rFonts w:eastAsia="Times New Roman" w:cs="Times New Roman"/>
          <w:b/>
          <w:bCs/>
          <w:kern w:val="0"/>
          <w:lang w:eastAsia="en-GB"/>
          <w14:ligatures w14:val="none"/>
        </w:rPr>
        <w:t xml:space="preserve">: </w:t>
      </w:r>
      <w:r w:rsidRPr="00F70E85">
        <w:rPr>
          <w:rFonts w:eastAsia="Times New Roman" w:cs="Times New Roman"/>
          <w:kern w:val="0"/>
          <w:lang w:eastAsia="en-GB"/>
          <w14:ligatures w14:val="none"/>
        </w:rPr>
        <w:t>Following validation, all KPIs continued to return the same values and were considered suitable for inclusion in the final dashboard and subsequent project recommendations.</w:t>
      </w:r>
    </w:p>
    <w:p w14:paraId="1CD1B33A" w14:textId="77777777" w:rsidR="00F70E85" w:rsidRDefault="00F70E85" w:rsidP="00F70E85">
      <w:pPr>
        <w:spacing w:before="100" w:beforeAutospacing="1" w:after="100" w:afterAutospacing="1"/>
        <w:rPr>
          <w:rFonts w:eastAsia="Times New Roman" w:cs="Times New Roman"/>
          <w:kern w:val="0"/>
          <w:lang w:eastAsia="en-GB"/>
          <w14:ligatures w14:val="none"/>
        </w:rPr>
      </w:pPr>
    </w:p>
    <w:p w14:paraId="68ED519E" w14:textId="77777777"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Test 2 – Dashboard Testing and Validation</w:t>
      </w:r>
    </w:p>
    <w:p w14:paraId="73611C06" w14:textId="77777777"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Testing Objective</w:t>
      </w:r>
    </w:p>
    <w:p w14:paraId="6F7D0C29" w14:textId="77777777" w:rsid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lastRenderedPageBreak/>
        <w:t>The objective of this test was to evaluate whether the Week 6 dashboard accurately represented the underlying data, functioned as intended and effectively communicated the analytical findings to support business decision-making.</w:t>
      </w:r>
    </w:p>
    <w:p w14:paraId="2D6518B6"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p>
    <w:p w14:paraId="2B487602" w14:textId="77777777"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Dashboard Components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2992"/>
        <w:gridCol w:w="3065"/>
        <w:gridCol w:w="889"/>
      </w:tblGrid>
      <w:tr w:rsidR="00F70E85" w:rsidRPr="00F70E85" w14:paraId="71C9FE5D" w14:textId="77777777">
        <w:trPr>
          <w:tblHeader/>
          <w:tblCellSpacing w:w="15" w:type="dxa"/>
        </w:trPr>
        <w:tc>
          <w:tcPr>
            <w:tcW w:w="0" w:type="auto"/>
            <w:vAlign w:val="center"/>
            <w:hideMark/>
          </w:tcPr>
          <w:p w14:paraId="15E400F9" w14:textId="77777777"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Dashboard Component</w:t>
            </w:r>
          </w:p>
        </w:tc>
        <w:tc>
          <w:tcPr>
            <w:tcW w:w="0" w:type="auto"/>
            <w:vAlign w:val="center"/>
            <w:hideMark/>
          </w:tcPr>
          <w:p w14:paraId="6706068E" w14:textId="77777777"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Expected Result</w:t>
            </w:r>
          </w:p>
        </w:tc>
        <w:tc>
          <w:tcPr>
            <w:tcW w:w="0" w:type="auto"/>
            <w:vAlign w:val="center"/>
            <w:hideMark/>
          </w:tcPr>
          <w:p w14:paraId="6D3654F8" w14:textId="77777777"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Actual Result</w:t>
            </w:r>
          </w:p>
        </w:tc>
        <w:tc>
          <w:tcPr>
            <w:tcW w:w="0" w:type="auto"/>
            <w:vAlign w:val="center"/>
            <w:hideMark/>
          </w:tcPr>
          <w:p w14:paraId="586690B3" w14:textId="77777777"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Status</w:t>
            </w:r>
          </w:p>
        </w:tc>
      </w:tr>
      <w:tr w:rsidR="00F70E85" w:rsidRPr="00F70E85" w14:paraId="64CE5B1A" w14:textId="77777777">
        <w:trPr>
          <w:tblCellSpacing w:w="15" w:type="dxa"/>
        </w:trPr>
        <w:tc>
          <w:tcPr>
            <w:tcW w:w="0" w:type="auto"/>
            <w:vAlign w:val="center"/>
            <w:hideMark/>
          </w:tcPr>
          <w:p w14:paraId="6D301FBB"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KPI Cards</w:t>
            </w:r>
          </w:p>
        </w:tc>
        <w:tc>
          <w:tcPr>
            <w:tcW w:w="0" w:type="auto"/>
            <w:vAlign w:val="center"/>
            <w:hideMark/>
          </w:tcPr>
          <w:p w14:paraId="6A3E4324"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Display accurate values that match the underlying dataset.</w:t>
            </w:r>
          </w:p>
        </w:tc>
        <w:tc>
          <w:tcPr>
            <w:tcW w:w="0" w:type="auto"/>
            <w:vAlign w:val="center"/>
            <w:hideMark/>
          </w:tcPr>
          <w:p w14:paraId="71A29FCE"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KPI values remained consistent with the validated DAX measures.</w:t>
            </w:r>
          </w:p>
        </w:tc>
        <w:tc>
          <w:tcPr>
            <w:tcW w:w="0" w:type="auto"/>
            <w:vAlign w:val="center"/>
            <w:hideMark/>
          </w:tcPr>
          <w:p w14:paraId="06D998FA"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r w:rsidR="00F70E85" w:rsidRPr="00F70E85" w14:paraId="35EBAE59" w14:textId="77777777">
        <w:trPr>
          <w:tblCellSpacing w:w="15" w:type="dxa"/>
        </w:trPr>
        <w:tc>
          <w:tcPr>
            <w:tcW w:w="0" w:type="auto"/>
            <w:vAlign w:val="center"/>
            <w:hideMark/>
          </w:tcPr>
          <w:p w14:paraId="5B89DBB2"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Appointment Outcome</w:t>
            </w:r>
          </w:p>
        </w:tc>
        <w:tc>
          <w:tcPr>
            <w:tcW w:w="0" w:type="auto"/>
            <w:vAlign w:val="center"/>
            <w:hideMark/>
          </w:tcPr>
          <w:p w14:paraId="52BE210B"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Clearly summarises the distribution of attended, missed and cancelled appointments.</w:t>
            </w:r>
          </w:p>
        </w:tc>
        <w:tc>
          <w:tcPr>
            <w:tcW w:w="0" w:type="auto"/>
            <w:vAlign w:val="center"/>
            <w:hideMark/>
          </w:tcPr>
          <w:p w14:paraId="6306739E"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Visual accurately represented appointment outcomes.</w:t>
            </w:r>
          </w:p>
        </w:tc>
        <w:tc>
          <w:tcPr>
            <w:tcW w:w="0" w:type="auto"/>
            <w:vAlign w:val="center"/>
            <w:hideMark/>
          </w:tcPr>
          <w:p w14:paraId="098E5F53"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r w:rsidR="00F70E85" w:rsidRPr="00F70E85" w14:paraId="1A793F4B" w14:textId="77777777">
        <w:trPr>
          <w:tblCellSpacing w:w="15" w:type="dxa"/>
        </w:trPr>
        <w:tc>
          <w:tcPr>
            <w:tcW w:w="0" w:type="auto"/>
            <w:vAlign w:val="center"/>
            <w:hideMark/>
          </w:tcPr>
          <w:p w14:paraId="2D8C52D7"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Average Booking Lead Days</w:t>
            </w:r>
          </w:p>
        </w:tc>
        <w:tc>
          <w:tcPr>
            <w:tcW w:w="0" w:type="auto"/>
            <w:vAlign w:val="center"/>
            <w:hideMark/>
          </w:tcPr>
          <w:p w14:paraId="7B52D905"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Correctly compares booking lead times between appointment outcomes.</w:t>
            </w:r>
          </w:p>
        </w:tc>
        <w:tc>
          <w:tcPr>
            <w:tcW w:w="0" w:type="auto"/>
            <w:vAlign w:val="center"/>
            <w:hideMark/>
          </w:tcPr>
          <w:p w14:paraId="345C89A1"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Longer booking lead times remained associated with higher no-show rates.</w:t>
            </w:r>
          </w:p>
        </w:tc>
        <w:tc>
          <w:tcPr>
            <w:tcW w:w="0" w:type="auto"/>
            <w:vAlign w:val="center"/>
            <w:hideMark/>
          </w:tcPr>
          <w:p w14:paraId="5D18C638"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r w:rsidR="00F70E85" w:rsidRPr="00F70E85" w14:paraId="70CB05CE" w14:textId="77777777">
        <w:trPr>
          <w:tblCellSpacing w:w="15" w:type="dxa"/>
        </w:trPr>
        <w:tc>
          <w:tcPr>
            <w:tcW w:w="0" w:type="auto"/>
            <w:vAlign w:val="center"/>
            <w:hideMark/>
          </w:tcPr>
          <w:p w14:paraId="387DD7C5"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Appointment Type vs Outcome</w:t>
            </w:r>
          </w:p>
        </w:tc>
        <w:tc>
          <w:tcPr>
            <w:tcW w:w="0" w:type="auto"/>
            <w:vAlign w:val="center"/>
            <w:hideMark/>
          </w:tcPr>
          <w:p w14:paraId="4ECB6AE5"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Correctly displays attendance outcomes across appointment types.</w:t>
            </w:r>
          </w:p>
        </w:tc>
        <w:tc>
          <w:tcPr>
            <w:tcW w:w="0" w:type="auto"/>
            <w:vAlign w:val="center"/>
            <w:hideMark/>
          </w:tcPr>
          <w:p w14:paraId="6CD0B439"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Confirmed similar no-show patterns across appointment types.</w:t>
            </w:r>
          </w:p>
        </w:tc>
        <w:tc>
          <w:tcPr>
            <w:tcW w:w="0" w:type="auto"/>
            <w:vAlign w:val="center"/>
            <w:hideMark/>
          </w:tcPr>
          <w:p w14:paraId="1D9ED12A"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r w:rsidR="00F70E85" w:rsidRPr="00F70E85" w14:paraId="35B9D5E6" w14:textId="77777777">
        <w:trPr>
          <w:tblCellSpacing w:w="15" w:type="dxa"/>
        </w:trPr>
        <w:tc>
          <w:tcPr>
            <w:tcW w:w="0" w:type="auto"/>
            <w:vAlign w:val="center"/>
            <w:hideMark/>
          </w:tcPr>
          <w:p w14:paraId="37AAAFF7"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Previous No-Shows vs Current Outcome</w:t>
            </w:r>
          </w:p>
        </w:tc>
        <w:tc>
          <w:tcPr>
            <w:tcW w:w="0" w:type="auto"/>
            <w:vAlign w:val="center"/>
            <w:hideMark/>
          </w:tcPr>
          <w:p w14:paraId="2A2D6196"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Correctly illustrates the relationship between previous and current attendance behaviour.</w:t>
            </w:r>
          </w:p>
        </w:tc>
        <w:tc>
          <w:tcPr>
            <w:tcW w:w="0" w:type="auto"/>
            <w:vAlign w:val="center"/>
            <w:hideMark/>
          </w:tcPr>
          <w:p w14:paraId="2A057C94"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Strong relationship remained visible across all groups.</w:t>
            </w:r>
          </w:p>
        </w:tc>
        <w:tc>
          <w:tcPr>
            <w:tcW w:w="0" w:type="auto"/>
            <w:vAlign w:val="center"/>
            <w:hideMark/>
          </w:tcPr>
          <w:p w14:paraId="2F88FF60"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r w:rsidR="00F70E85" w:rsidRPr="00F70E85" w14:paraId="13C838AF" w14:textId="77777777">
        <w:trPr>
          <w:tblCellSpacing w:w="15" w:type="dxa"/>
        </w:trPr>
        <w:tc>
          <w:tcPr>
            <w:tcW w:w="0" w:type="auto"/>
            <w:vAlign w:val="center"/>
            <w:hideMark/>
          </w:tcPr>
          <w:p w14:paraId="354FB218"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Reminder Sent vs Outcome</w:t>
            </w:r>
          </w:p>
        </w:tc>
        <w:tc>
          <w:tcPr>
            <w:tcW w:w="0" w:type="auto"/>
            <w:vAlign w:val="center"/>
            <w:hideMark/>
          </w:tcPr>
          <w:p w14:paraId="4D701EE1"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Correctly compares attendance outcomes based on reminder status.</w:t>
            </w:r>
          </w:p>
        </w:tc>
        <w:tc>
          <w:tcPr>
            <w:tcW w:w="0" w:type="auto"/>
            <w:vAlign w:val="center"/>
            <w:hideMark/>
          </w:tcPr>
          <w:p w14:paraId="615D879C"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Confirmed a modest improvement in attendance among patients receiving reminders.</w:t>
            </w:r>
          </w:p>
        </w:tc>
        <w:tc>
          <w:tcPr>
            <w:tcW w:w="0" w:type="auto"/>
            <w:vAlign w:val="center"/>
            <w:hideMark/>
          </w:tcPr>
          <w:p w14:paraId="5C285EC3"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r w:rsidR="00F70E85" w:rsidRPr="00F70E85" w14:paraId="6F0EAE63" w14:textId="77777777">
        <w:trPr>
          <w:tblCellSpacing w:w="15" w:type="dxa"/>
        </w:trPr>
        <w:tc>
          <w:tcPr>
            <w:tcW w:w="0" w:type="auto"/>
            <w:vAlign w:val="center"/>
            <w:hideMark/>
          </w:tcPr>
          <w:p w14:paraId="03333CE3"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Previous No-Shows × Reminder Sent</w:t>
            </w:r>
          </w:p>
        </w:tc>
        <w:tc>
          <w:tcPr>
            <w:tcW w:w="0" w:type="auto"/>
            <w:vAlign w:val="center"/>
            <w:hideMark/>
          </w:tcPr>
          <w:p w14:paraId="5FB3837D"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Correctly shows how reminder effectiveness varies across previous no-show groups.</w:t>
            </w:r>
          </w:p>
        </w:tc>
        <w:tc>
          <w:tcPr>
            <w:tcW w:w="0" w:type="auto"/>
            <w:vAlign w:val="center"/>
            <w:hideMark/>
          </w:tcPr>
          <w:p w14:paraId="04C84701"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Helped identify differences in attendance across patient risk groups.</w:t>
            </w:r>
          </w:p>
        </w:tc>
        <w:tc>
          <w:tcPr>
            <w:tcW w:w="0" w:type="auto"/>
            <w:vAlign w:val="center"/>
            <w:hideMark/>
          </w:tcPr>
          <w:p w14:paraId="1258ADC2"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r w:rsidR="00F70E85" w:rsidRPr="00F70E85" w14:paraId="2AC7E35D" w14:textId="77777777">
        <w:trPr>
          <w:tblCellSpacing w:w="15" w:type="dxa"/>
        </w:trPr>
        <w:tc>
          <w:tcPr>
            <w:tcW w:w="0" w:type="auto"/>
            <w:vAlign w:val="center"/>
            <w:hideMark/>
          </w:tcPr>
          <w:p w14:paraId="2144EDAC"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Booking Lead Days by Appointment Type</w:t>
            </w:r>
          </w:p>
        </w:tc>
        <w:tc>
          <w:tcPr>
            <w:tcW w:w="0" w:type="auto"/>
            <w:vAlign w:val="center"/>
            <w:hideMark/>
          </w:tcPr>
          <w:p w14:paraId="6C5EB3ED"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Correctly compares booking lead times across appointment types.</w:t>
            </w:r>
          </w:p>
        </w:tc>
        <w:tc>
          <w:tcPr>
            <w:tcW w:w="0" w:type="auto"/>
            <w:vAlign w:val="center"/>
            <w:hideMark/>
          </w:tcPr>
          <w:p w14:paraId="08298024"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Supported further investigation of operational scheduling patterns.</w:t>
            </w:r>
          </w:p>
        </w:tc>
        <w:tc>
          <w:tcPr>
            <w:tcW w:w="0" w:type="auto"/>
            <w:vAlign w:val="center"/>
            <w:hideMark/>
          </w:tcPr>
          <w:p w14:paraId="3B258E11"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r w:rsidR="00F70E85" w:rsidRPr="00F70E85" w14:paraId="18E2185D" w14:textId="77777777">
        <w:trPr>
          <w:tblCellSpacing w:w="15" w:type="dxa"/>
        </w:trPr>
        <w:tc>
          <w:tcPr>
            <w:tcW w:w="0" w:type="auto"/>
            <w:vAlign w:val="center"/>
            <w:hideMark/>
          </w:tcPr>
          <w:p w14:paraId="516A41AC"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Attendance Rate by Appointment Type</w:t>
            </w:r>
          </w:p>
        </w:tc>
        <w:tc>
          <w:tcPr>
            <w:tcW w:w="0" w:type="auto"/>
            <w:vAlign w:val="center"/>
            <w:hideMark/>
          </w:tcPr>
          <w:p w14:paraId="746649FC"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Clearly displays attendance distribution by appointment type.</w:t>
            </w:r>
          </w:p>
        </w:tc>
        <w:tc>
          <w:tcPr>
            <w:tcW w:w="0" w:type="auto"/>
            <w:vAlign w:val="center"/>
            <w:hideMark/>
          </w:tcPr>
          <w:p w14:paraId="133134F9"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Pie chart provided an easy-to-interpret overview of attendance across services.</w:t>
            </w:r>
          </w:p>
        </w:tc>
        <w:tc>
          <w:tcPr>
            <w:tcW w:w="0" w:type="auto"/>
            <w:vAlign w:val="center"/>
            <w:hideMark/>
          </w:tcPr>
          <w:p w14:paraId="61C9E1A3"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r w:rsidR="00F70E85" w:rsidRPr="00F70E85" w14:paraId="5558D19C" w14:textId="77777777">
        <w:trPr>
          <w:tblCellSpacing w:w="15" w:type="dxa"/>
        </w:trPr>
        <w:tc>
          <w:tcPr>
            <w:tcW w:w="0" w:type="auto"/>
            <w:vAlign w:val="center"/>
            <w:hideMark/>
          </w:tcPr>
          <w:p w14:paraId="34CD5BB6"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Average Booking Lead Days × Reminder Sent</w:t>
            </w:r>
          </w:p>
        </w:tc>
        <w:tc>
          <w:tcPr>
            <w:tcW w:w="0" w:type="auto"/>
            <w:vAlign w:val="center"/>
            <w:hideMark/>
          </w:tcPr>
          <w:p w14:paraId="45442A3C"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Correctly compares booking lead time according to reminder status.</w:t>
            </w:r>
          </w:p>
        </w:tc>
        <w:tc>
          <w:tcPr>
            <w:tcW w:w="0" w:type="auto"/>
            <w:vAlign w:val="center"/>
            <w:hideMark/>
          </w:tcPr>
          <w:p w14:paraId="631526D2"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Supported evaluation of whether reminder strategies could be adapted based on booking lead time.</w:t>
            </w:r>
          </w:p>
        </w:tc>
        <w:tc>
          <w:tcPr>
            <w:tcW w:w="0" w:type="auto"/>
            <w:vAlign w:val="center"/>
            <w:hideMark/>
          </w:tcPr>
          <w:p w14:paraId="3D7F3D20"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r w:rsidR="00F70E85" w:rsidRPr="00F70E85" w14:paraId="04DB773F" w14:textId="77777777">
        <w:trPr>
          <w:tblCellSpacing w:w="15" w:type="dxa"/>
        </w:trPr>
        <w:tc>
          <w:tcPr>
            <w:tcW w:w="0" w:type="auto"/>
            <w:vAlign w:val="center"/>
            <w:hideMark/>
          </w:tcPr>
          <w:p w14:paraId="4B6E3778"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lastRenderedPageBreak/>
              <w:t>Risk Classification Matrix</w:t>
            </w:r>
          </w:p>
        </w:tc>
        <w:tc>
          <w:tcPr>
            <w:tcW w:w="0" w:type="auto"/>
            <w:vAlign w:val="center"/>
            <w:hideMark/>
          </w:tcPr>
          <w:p w14:paraId="5E52E2B7"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Correctly classifies patients into Low-, Medium- and High-Risk groups.</w:t>
            </w:r>
          </w:p>
        </w:tc>
        <w:tc>
          <w:tcPr>
            <w:tcW w:w="0" w:type="auto"/>
            <w:vAlign w:val="center"/>
            <w:hideMark/>
          </w:tcPr>
          <w:p w14:paraId="2CD06471"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Successfully supported the proposed targeted intervention strategy.</w:t>
            </w:r>
          </w:p>
        </w:tc>
        <w:tc>
          <w:tcPr>
            <w:tcW w:w="0" w:type="auto"/>
            <w:vAlign w:val="center"/>
            <w:hideMark/>
          </w:tcPr>
          <w:p w14:paraId="51AA1459"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ascii="Apple Color Emoji" w:eastAsia="Times New Roman" w:hAnsi="Apple Color Emoji" w:cs="Apple Color Emoji"/>
                <w:kern w:val="0"/>
                <w:lang w:eastAsia="en-GB"/>
                <w14:ligatures w14:val="none"/>
              </w:rPr>
              <w:t>✅</w:t>
            </w:r>
            <w:r w:rsidRPr="00F70E85">
              <w:rPr>
                <w:rFonts w:eastAsia="Times New Roman" w:cs="Times New Roman"/>
                <w:kern w:val="0"/>
                <w:lang w:eastAsia="en-GB"/>
                <w14:ligatures w14:val="none"/>
              </w:rPr>
              <w:t xml:space="preserve"> Passed</w:t>
            </w:r>
          </w:p>
        </w:tc>
      </w:tr>
    </w:tbl>
    <w:p w14:paraId="6A176776" w14:textId="6EE4D285" w:rsidR="00F70E85" w:rsidRPr="00F70E85" w:rsidRDefault="00F70E85" w:rsidP="00F70E85">
      <w:pPr>
        <w:spacing w:before="100" w:beforeAutospacing="1" w:after="100" w:afterAutospacing="1"/>
        <w:rPr>
          <w:rFonts w:eastAsia="Times New Roman" w:cs="Times New Roman"/>
          <w:b/>
          <w:bCs/>
          <w:kern w:val="0"/>
          <w:lang w:eastAsia="en-GB"/>
          <w14:ligatures w14:val="none"/>
        </w:rPr>
      </w:pPr>
      <w:r w:rsidRPr="00F70E85">
        <w:rPr>
          <w:rFonts w:eastAsia="Times New Roman" w:cs="Times New Roman"/>
          <w:b/>
          <w:bCs/>
          <w:kern w:val="0"/>
          <w:lang w:eastAsia="en-GB"/>
          <w14:ligatures w14:val="none"/>
        </w:rPr>
        <w:t>Dashboard Validation Results</w:t>
      </w:r>
      <w:r>
        <w:rPr>
          <w:rFonts w:eastAsia="Times New Roman" w:cs="Times New Roman"/>
          <w:b/>
          <w:bCs/>
          <w:kern w:val="0"/>
          <w:lang w:eastAsia="en-GB"/>
          <w14:ligatures w14:val="none"/>
        </w:rPr>
        <w:t xml:space="preserve">: </w:t>
      </w:r>
      <w:r w:rsidRPr="00F70E85">
        <w:rPr>
          <w:rFonts w:eastAsia="Times New Roman" w:cs="Times New Roman"/>
          <w:kern w:val="0"/>
          <w:lang w:eastAsia="en-GB"/>
          <w14:ligatures w14:val="none"/>
        </w:rPr>
        <w:t>The dashboard testing confirmed that all visualisations accurately represented the intended analytical relationships and supported the findings identified during previous project stages.</w:t>
      </w:r>
    </w:p>
    <w:p w14:paraId="1EE902EB"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The additional Week 6 visualisations improved the dashboard by moving beyond descriptive reporting and providing more actionable insights. The Risk Classification Matrix was particularly valuable because it transformed previous no-show patterns into practical patient segments that could support targeted interventions.</w:t>
      </w:r>
    </w:p>
    <w:p w14:paraId="6C21BE2C" w14:textId="77777777"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kern w:val="0"/>
          <w:lang w:eastAsia="en-GB"/>
          <w14:ligatures w14:val="none"/>
        </w:rPr>
        <w:t>No calculation inconsistencies or misleading visualisations were identified during testing. The dashboard was considered suitable for communicating key attendance trends and supporting HealthConnect Clinic's decision-making process.</w:t>
      </w:r>
    </w:p>
    <w:p w14:paraId="1B6C8749" w14:textId="02D36998" w:rsidR="00F70E85" w:rsidRP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b/>
          <w:bCs/>
          <w:kern w:val="0"/>
          <w:lang w:eastAsia="en-GB"/>
          <w14:ligatures w14:val="none"/>
        </w:rPr>
        <w:t>Action Taken</w:t>
      </w:r>
      <w:r>
        <w:rPr>
          <w:rFonts w:eastAsia="Times New Roman" w:cs="Times New Roman"/>
          <w:kern w:val="0"/>
          <w:lang w:eastAsia="en-GB"/>
          <w14:ligatures w14:val="none"/>
        </w:rPr>
        <w:t xml:space="preserve">: </w:t>
      </w:r>
      <w:r w:rsidRPr="00F70E85">
        <w:rPr>
          <w:rFonts w:eastAsia="Times New Roman" w:cs="Times New Roman"/>
          <w:kern w:val="0"/>
          <w:lang w:eastAsia="en-GB"/>
          <w14:ligatures w14:val="none"/>
        </w:rPr>
        <w:t>No major dashboard changes were required following testing. The main refinement was improving the interpretation of visuals by ensuring that each chart directly supported a business question or recommendation.</w:t>
      </w:r>
    </w:p>
    <w:p w14:paraId="550D479E" w14:textId="31959BBB" w:rsidR="00F70E85" w:rsidRDefault="00F70E85" w:rsidP="00F70E85">
      <w:pPr>
        <w:spacing w:before="100" w:beforeAutospacing="1" w:after="100" w:afterAutospacing="1"/>
        <w:rPr>
          <w:rFonts w:eastAsia="Times New Roman" w:cs="Times New Roman"/>
          <w:kern w:val="0"/>
          <w:lang w:eastAsia="en-GB"/>
          <w14:ligatures w14:val="none"/>
        </w:rPr>
      </w:pPr>
      <w:r w:rsidRPr="00F70E85">
        <w:rPr>
          <w:rFonts w:eastAsia="Times New Roman" w:cs="Times New Roman"/>
          <w:b/>
          <w:bCs/>
          <w:kern w:val="0"/>
          <w:lang w:eastAsia="en-GB"/>
          <w14:ligatures w14:val="none"/>
        </w:rPr>
        <w:t>Retest Result</w:t>
      </w:r>
      <w:r>
        <w:rPr>
          <w:rFonts w:eastAsia="Times New Roman" w:cs="Times New Roman"/>
          <w:b/>
          <w:bCs/>
          <w:kern w:val="0"/>
          <w:lang w:eastAsia="en-GB"/>
          <w14:ligatures w14:val="none"/>
        </w:rPr>
        <w:t xml:space="preserve">: </w:t>
      </w:r>
      <w:r w:rsidRPr="00F70E85">
        <w:rPr>
          <w:rFonts w:eastAsia="Times New Roman" w:cs="Times New Roman"/>
          <w:kern w:val="0"/>
          <w:lang w:eastAsia="en-GB"/>
          <w14:ligatures w14:val="none"/>
        </w:rPr>
        <w:t>Following validation, the dashboard continued to produce consistent results and was considered ready for further integration into the final HealthConnect solution.</w:t>
      </w:r>
    </w:p>
    <w:p w14:paraId="50CE43BE" w14:textId="77777777" w:rsidR="002D368B" w:rsidRDefault="002D368B" w:rsidP="00F70E85">
      <w:pPr>
        <w:spacing w:before="100" w:beforeAutospacing="1" w:after="100" w:afterAutospacing="1"/>
        <w:rPr>
          <w:rFonts w:eastAsia="Times New Roman" w:cs="Times New Roman"/>
          <w:kern w:val="0"/>
          <w:lang w:eastAsia="en-GB"/>
          <w14:ligatures w14:val="none"/>
        </w:rPr>
      </w:pPr>
    </w:p>
    <w:p w14:paraId="2BA793C5" w14:textId="77777777" w:rsidR="002D368B" w:rsidRPr="002D368B" w:rsidRDefault="002D368B" w:rsidP="002D368B">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Test 3 – Analytical Findings Validation</w:t>
      </w:r>
    </w:p>
    <w:p w14:paraId="56DCA49D" w14:textId="77777777" w:rsidR="002D368B" w:rsidRPr="002D368B" w:rsidRDefault="002D368B" w:rsidP="002D368B">
      <w:pPr>
        <w:spacing w:before="100" w:beforeAutospacing="1" w:after="100" w:afterAutospacing="1"/>
        <w:rPr>
          <w:rFonts w:eastAsia="Times New Roman" w:cs="Times New Roman"/>
          <w:b/>
          <w:bCs/>
          <w:kern w:val="0"/>
          <w:lang w:eastAsia="en-GB"/>
          <w14:ligatures w14:val="none"/>
        </w:rPr>
      </w:pPr>
      <w:r w:rsidRPr="002D368B">
        <w:rPr>
          <w:rFonts w:eastAsia="Times New Roman" w:cs="Times New Roman"/>
          <w:b/>
          <w:bCs/>
          <w:kern w:val="0"/>
          <w:lang w:eastAsia="en-GB"/>
          <w14:ligatures w14:val="none"/>
        </w:rPr>
        <w:t>Testing Objective</w:t>
      </w:r>
    </w:p>
    <w:p w14:paraId="69A3EFC7" w14:textId="77777777" w:rsidR="002D368B" w:rsidRPr="001C4B4E" w:rsidRDefault="002D368B" w:rsidP="002D368B">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The objective of this test was to reassess the key analytical findings identified during Week 6 and determine whether they remained valid when compared against the underlying dataset and cross-track modelling activities. The purpose was to confirm whether the findings could continue to support HealthConnect Clinic’s decision-making and contribute to predictive modelling decisions.</w:t>
      </w:r>
    </w:p>
    <w:p w14:paraId="51328FD7" w14:textId="77777777" w:rsidR="002D368B" w:rsidRPr="001C4B4E" w:rsidRDefault="002D368B" w:rsidP="002D368B">
      <w:p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The validation focused on the main factors identified as influencing appointment attendance:</w:t>
      </w:r>
    </w:p>
    <w:p w14:paraId="1BC51030" w14:textId="77777777" w:rsidR="002D368B" w:rsidRPr="001C4B4E" w:rsidRDefault="002D368B" w:rsidP="002D368B">
      <w:pPr>
        <w:numPr>
          <w:ilvl w:val="0"/>
          <w:numId w:val="2"/>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Previous no-show history</w:t>
      </w:r>
    </w:p>
    <w:p w14:paraId="720AB62F" w14:textId="77777777" w:rsidR="002D368B" w:rsidRPr="001C4B4E" w:rsidRDefault="002D368B" w:rsidP="002D368B">
      <w:pPr>
        <w:numPr>
          <w:ilvl w:val="0"/>
          <w:numId w:val="2"/>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Booking lead time</w:t>
      </w:r>
    </w:p>
    <w:p w14:paraId="1FFC247C" w14:textId="77777777" w:rsidR="002D368B" w:rsidRPr="001C4B4E" w:rsidRDefault="002D368B" w:rsidP="002D368B">
      <w:pPr>
        <w:numPr>
          <w:ilvl w:val="0"/>
          <w:numId w:val="2"/>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Reminder usage</w:t>
      </w:r>
    </w:p>
    <w:p w14:paraId="271062D2" w14:textId="77777777" w:rsidR="002D368B" w:rsidRPr="001C4B4E" w:rsidRDefault="002D368B" w:rsidP="002D368B">
      <w:pPr>
        <w:numPr>
          <w:ilvl w:val="0"/>
          <w:numId w:val="2"/>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Appointment characteristics</w:t>
      </w:r>
    </w:p>
    <w:p w14:paraId="3AABC77D" w14:textId="77777777" w:rsidR="002D368B" w:rsidRDefault="002D368B" w:rsidP="002D368B">
      <w:pPr>
        <w:numPr>
          <w:ilvl w:val="0"/>
          <w:numId w:val="2"/>
        </w:numPr>
        <w:spacing w:before="100" w:beforeAutospacing="1" w:after="100" w:afterAutospacing="1"/>
        <w:rPr>
          <w:rFonts w:eastAsia="Times New Roman" w:cs="Times New Roman"/>
          <w:kern w:val="0"/>
          <w:lang w:eastAsia="en-GB"/>
          <w14:ligatures w14:val="none"/>
        </w:rPr>
      </w:pPr>
      <w:r w:rsidRPr="001C4B4E">
        <w:rPr>
          <w:rFonts w:eastAsia="Times New Roman" w:cs="Times New Roman"/>
          <w:kern w:val="0"/>
          <w:lang w:eastAsia="en-GB"/>
          <w14:ligatures w14:val="none"/>
        </w:rPr>
        <w:t>Patient demographic and operational factors</w:t>
      </w:r>
    </w:p>
    <w:p w14:paraId="10D159B2" w14:textId="77777777" w:rsidR="001C4B4E" w:rsidRPr="001C4B4E" w:rsidRDefault="001C4B4E" w:rsidP="001C4B4E">
      <w:pPr>
        <w:spacing w:before="100" w:beforeAutospacing="1" w:after="100" w:afterAutospacing="1"/>
        <w:rPr>
          <w:rFonts w:eastAsia="Times New Roman" w:cs="Times New Roman"/>
          <w:b/>
          <w:bCs/>
          <w:kern w:val="0"/>
          <w:lang w:eastAsia="en-GB"/>
          <w14:ligatures w14:val="none"/>
        </w:rPr>
      </w:pPr>
      <w:r w:rsidRPr="001C4B4E">
        <w:rPr>
          <w:rFonts w:eastAsia="Times New Roman" w:cs="Times New Roman"/>
          <w:b/>
          <w:bCs/>
          <w:kern w:val="0"/>
          <w:lang w:eastAsia="en-GB"/>
          <w14:ligatures w14:val="none"/>
        </w:rPr>
        <w:lastRenderedPageBreak/>
        <w:t>Test 3 – Analytical Findings Validation and Cross-Track Testing</w:t>
      </w:r>
    </w:p>
    <w:p w14:paraId="6CD81DCB" w14:textId="77777777" w:rsidR="00F27D00" w:rsidRDefault="00F27D00" w:rsidP="001C4B4E">
      <w:pPr>
        <w:spacing w:before="100" w:beforeAutospacing="1" w:after="100" w:afterAutospacing="1"/>
        <w:rPr>
          <w:rFonts w:eastAsia="Times New Roman" w:cs="Times New Roman"/>
          <w:kern w:val="0"/>
          <w:lang w:eastAsia="en-GB"/>
          <w14:ligatures w14:val="none"/>
        </w:rPr>
      </w:pPr>
      <w:r>
        <w:rPr>
          <w:rFonts w:eastAsia="Times New Roman" w:cs="Times New Roman"/>
          <w:kern w:val="0"/>
          <w:lang w:eastAsia="en-GB"/>
          <w14:ligatures w14:val="none"/>
        </w:rPr>
        <w:t>F</w:t>
      </w:r>
      <w:r w:rsidRPr="00F27D00">
        <w:rPr>
          <w:rFonts w:eastAsia="Times New Roman" w:cs="Times New Roman"/>
          <w:kern w:val="0"/>
          <w:lang w:eastAsia="en-GB"/>
          <w14:ligatures w14:val="none"/>
        </w:rPr>
        <w:t xml:space="preserve">urther validation was conducted in collaboration with the Data Science track. Details are provided in the </w:t>
      </w:r>
      <w:r w:rsidRPr="00F27D00">
        <w:rPr>
          <w:rFonts w:eastAsia="Times New Roman" w:cs="Times New Roman"/>
          <w:b/>
          <w:bCs/>
          <w:kern w:val="0"/>
          <w:lang w:eastAsia="en-GB"/>
          <w14:ligatures w14:val="none"/>
        </w:rPr>
        <w:t>Cross-Track Testing Evidence</w:t>
      </w:r>
      <w:r w:rsidRPr="00F27D00">
        <w:rPr>
          <w:rFonts w:eastAsia="Times New Roman" w:cs="Times New Roman"/>
          <w:kern w:val="0"/>
          <w:lang w:eastAsia="en-GB"/>
          <w14:ligatures w14:val="none"/>
        </w:rPr>
        <w:t xml:space="preserve"> document.</w:t>
      </w:r>
    </w:p>
    <w:p w14:paraId="2E896AD8" w14:textId="77777777" w:rsidR="00F27D00" w:rsidRPr="00F27D00" w:rsidRDefault="00F27D00" w:rsidP="00F27D00">
      <w:pPr>
        <w:rPr>
          <w:b/>
          <w:bCs/>
        </w:rPr>
      </w:pPr>
      <w:r w:rsidRPr="00F27D00">
        <w:rPr>
          <w:b/>
          <w:bCs/>
        </w:rPr>
        <w:t>Test 4 – Dashboard Refinement and Retesting</w:t>
      </w:r>
    </w:p>
    <w:p w14:paraId="68D4A194" w14:textId="77777777" w:rsidR="00F27D00" w:rsidRPr="00F27D00" w:rsidRDefault="00F27D00" w:rsidP="00F27D00">
      <w:pPr>
        <w:rPr>
          <w:b/>
          <w:bCs/>
        </w:rPr>
      </w:pPr>
      <w:r w:rsidRPr="00F27D00">
        <w:rPr>
          <w:b/>
          <w:bCs/>
        </w:rPr>
        <w:t>Testing Objective</w:t>
      </w:r>
    </w:p>
    <w:p w14:paraId="4047A50D" w14:textId="77777777" w:rsidR="00F27D00" w:rsidRPr="00F27D00" w:rsidRDefault="00F27D00" w:rsidP="00F27D00">
      <w:r w:rsidRPr="00F27D00">
        <w:t>Following dashboard validation, an improvement opportunity was identified to enhance usability and allow users to investigate attendance patterns across different patient and appointment segments.</w:t>
      </w:r>
    </w:p>
    <w:p w14:paraId="1793A7FC" w14:textId="77777777" w:rsidR="00F27D00" w:rsidRPr="00F27D00" w:rsidRDefault="00F27D00" w:rsidP="00F27D00">
      <w:r w:rsidRPr="00F27D00">
        <w:t>The objective of this refinement was to improve dashboard interactivity and enable HealthConnect stakeholders to explore specific risk groups and operational factors more effectively.</w:t>
      </w:r>
    </w:p>
    <w:p w14:paraId="16A0343C" w14:textId="77777777" w:rsidR="00F27D00" w:rsidRPr="00F27D00" w:rsidRDefault="00F27D00" w:rsidP="00F27D00">
      <w:pPr>
        <w:rPr>
          <w:b/>
          <w:bCs/>
        </w:rPr>
      </w:pPr>
      <w:r w:rsidRPr="00F27D00">
        <w:rPr>
          <w:b/>
          <w:bCs/>
        </w:rPr>
        <w:t>Issue Identified</w:t>
      </w:r>
    </w:p>
    <w:p w14:paraId="1B00926E" w14:textId="77777777" w:rsidR="00F27D00" w:rsidRPr="00F27D00" w:rsidRDefault="00F27D00" w:rsidP="00F27D00">
      <w:r w:rsidRPr="00F27D00">
        <w:t>The initial dashboard successfully communicated overall appointment attendance trends; however, users had limited ability to investigate how patterns changed across different patient groups or appointment characteristics.</w:t>
      </w:r>
    </w:p>
    <w:p w14:paraId="7FFE3503" w14:textId="77777777" w:rsidR="00F27D00" w:rsidRPr="00F27D00" w:rsidRDefault="00F27D00" w:rsidP="00F27D00">
      <w:pPr>
        <w:rPr>
          <w:b/>
          <w:bCs/>
        </w:rPr>
      </w:pPr>
      <w:r w:rsidRPr="00F27D00">
        <w:rPr>
          <w:b/>
          <w:bCs/>
        </w:rPr>
        <w:t>Improvement Implemented</w:t>
      </w:r>
    </w:p>
    <w:p w14:paraId="5644B6FD" w14:textId="77777777" w:rsidR="00F27D00" w:rsidRPr="00F27D00" w:rsidRDefault="00F27D00" w:rsidP="00F27D00">
      <w:r w:rsidRPr="00F27D00">
        <w:t>Five interactive slicers were added to improve dashboard exploration:</w:t>
      </w:r>
    </w:p>
    <w:p w14:paraId="252CEE57" w14:textId="77777777" w:rsidR="00F27D00" w:rsidRPr="00F27D00" w:rsidRDefault="00F27D00" w:rsidP="00F27D00">
      <w:pPr>
        <w:numPr>
          <w:ilvl w:val="0"/>
          <w:numId w:val="12"/>
        </w:numPr>
      </w:pPr>
      <w:r w:rsidRPr="00F27D00">
        <w:t>Appointment Type</w:t>
      </w:r>
    </w:p>
    <w:p w14:paraId="47C03EB2" w14:textId="77777777" w:rsidR="00F27D00" w:rsidRPr="00F27D00" w:rsidRDefault="00F27D00" w:rsidP="00F27D00">
      <w:pPr>
        <w:numPr>
          <w:ilvl w:val="0"/>
          <w:numId w:val="12"/>
        </w:numPr>
      </w:pPr>
      <w:r w:rsidRPr="00F27D00">
        <w:t>Appointment Outcome</w:t>
      </w:r>
    </w:p>
    <w:p w14:paraId="35320A42" w14:textId="77777777" w:rsidR="00F27D00" w:rsidRPr="00F27D00" w:rsidRDefault="00F27D00" w:rsidP="00F27D00">
      <w:pPr>
        <w:numPr>
          <w:ilvl w:val="0"/>
          <w:numId w:val="12"/>
        </w:numPr>
      </w:pPr>
      <w:r w:rsidRPr="00F27D00">
        <w:t>Booking Lead Group</w:t>
      </w:r>
    </w:p>
    <w:p w14:paraId="5BC0466A" w14:textId="77777777" w:rsidR="00F27D00" w:rsidRPr="00F27D00" w:rsidRDefault="00F27D00" w:rsidP="00F27D00">
      <w:pPr>
        <w:numPr>
          <w:ilvl w:val="0"/>
          <w:numId w:val="12"/>
        </w:numPr>
      </w:pPr>
      <w:r w:rsidRPr="00F27D00">
        <w:t>Risk Classification</w:t>
      </w:r>
    </w:p>
    <w:p w14:paraId="7A5A3270" w14:textId="77777777" w:rsidR="00F27D00" w:rsidRPr="00F27D00" w:rsidRDefault="00F27D00" w:rsidP="00F27D00">
      <w:pPr>
        <w:numPr>
          <w:ilvl w:val="0"/>
          <w:numId w:val="12"/>
        </w:numPr>
      </w:pPr>
      <w:r w:rsidRPr="00F27D00">
        <w:t>Reminder Status</w:t>
      </w:r>
    </w:p>
    <w:p w14:paraId="714DDC09" w14:textId="77777777" w:rsidR="00F27D00" w:rsidRPr="00F27D00" w:rsidRDefault="00F27D00" w:rsidP="00F27D00">
      <w:r w:rsidRPr="00F27D00">
        <w:t>These additions allow users to analyse attendance behaviour across specific patient segments and better understand factors associated with missed appointments.</w:t>
      </w:r>
    </w:p>
    <w:p w14:paraId="52FF2E18" w14:textId="77777777" w:rsidR="00F27D00" w:rsidRPr="00F27D00" w:rsidRDefault="00F27D00" w:rsidP="00F27D00">
      <w:pPr>
        <w:rPr>
          <w:b/>
          <w:bCs/>
        </w:rPr>
      </w:pPr>
      <w:r w:rsidRPr="00F27D00">
        <w:rPr>
          <w:b/>
          <w:bCs/>
        </w:rPr>
        <w:t>Retesting Activity</w:t>
      </w:r>
    </w:p>
    <w:p w14:paraId="22982D0E" w14:textId="77777777" w:rsidR="00F27D00" w:rsidRPr="00F27D00" w:rsidRDefault="00F27D00" w:rsidP="00F27D00">
      <w:r w:rsidRPr="00F27D00">
        <w:t>The updated dashboard was tested by applying different slicer selections and verifying that:</w:t>
      </w:r>
    </w:p>
    <w:p w14:paraId="43053FDD" w14:textId="77777777" w:rsidR="00F27D00" w:rsidRPr="00F27D00" w:rsidRDefault="00F27D00" w:rsidP="00F27D00">
      <w:pPr>
        <w:numPr>
          <w:ilvl w:val="0"/>
          <w:numId w:val="13"/>
        </w:numPr>
      </w:pPr>
      <w:r w:rsidRPr="00F27D00">
        <w:t>KPI values updated correctly.</w:t>
      </w:r>
    </w:p>
    <w:p w14:paraId="3B6FC997" w14:textId="77777777" w:rsidR="00F27D00" w:rsidRPr="00F27D00" w:rsidRDefault="00F27D00" w:rsidP="00F27D00">
      <w:pPr>
        <w:numPr>
          <w:ilvl w:val="0"/>
          <w:numId w:val="13"/>
        </w:numPr>
      </w:pPr>
      <w:r w:rsidRPr="00F27D00">
        <w:t>Visualisations responded consistently to user selections.</w:t>
      </w:r>
    </w:p>
    <w:p w14:paraId="4A958A8F" w14:textId="77777777" w:rsidR="00F27D00" w:rsidRPr="00F27D00" w:rsidRDefault="00F27D00" w:rsidP="00F27D00">
      <w:pPr>
        <w:numPr>
          <w:ilvl w:val="0"/>
          <w:numId w:val="13"/>
        </w:numPr>
      </w:pPr>
      <w:r w:rsidRPr="00F27D00">
        <w:t>Risk groups could be analysed separately.</w:t>
      </w:r>
    </w:p>
    <w:p w14:paraId="65F16E95" w14:textId="77777777" w:rsidR="00F27D00" w:rsidRPr="00F27D00" w:rsidRDefault="00F27D00" w:rsidP="00F27D00">
      <w:pPr>
        <w:numPr>
          <w:ilvl w:val="0"/>
          <w:numId w:val="13"/>
        </w:numPr>
      </w:pPr>
      <w:r w:rsidRPr="00F27D00">
        <w:t>Booking lead-time patterns remained consistent.</w:t>
      </w:r>
    </w:p>
    <w:p w14:paraId="7A2C33C6" w14:textId="77777777" w:rsidR="00F27D00" w:rsidRPr="00F27D00" w:rsidRDefault="00F27D00" w:rsidP="00F27D00">
      <w:pPr>
        <w:numPr>
          <w:ilvl w:val="0"/>
          <w:numId w:val="13"/>
        </w:numPr>
      </w:pPr>
      <w:r w:rsidRPr="00F27D00">
        <w:t>Attendance trends remained aligned with previous analytical findings.</w:t>
      </w:r>
    </w:p>
    <w:p w14:paraId="0CCB377B" w14:textId="77777777" w:rsidR="00F27D00" w:rsidRPr="00F27D00" w:rsidRDefault="00F27D00" w:rsidP="00F27D00">
      <w:pPr>
        <w:rPr>
          <w:b/>
          <w:bCs/>
        </w:rPr>
      </w:pPr>
      <w:r w:rsidRPr="00F27D00">
        <w:rPr>
          <w:b/>
          <w:bCs/>
        </w:rPr>
        <w:t>Retest Result</w:t>
      </w:r>
    </w:p>
    <w:p w14:paraId="6B1C2998" w14:textId="77777777" w:rsidR="00F27D00" w:rsidRPr="00F27D00" w:rsidRDefault="00F27D00" w:rsidP="00F27D00">
      <w:r w:rsidRPr="00F27D00">
        <w:t>The dashboard refinement successfully improved usability without introducing inconsistencies in the analytical outputs.</w:t>
      </w:r>
    </w:p>
    <w:p w14:paraId="3274AA19" w14:textId="77777777" w:rsidR="00F27D00" w:rsidRPr="00F27D00" w:rsidRDefault="00F27D00" w:rsidP="00F27D00">
      <w:r w:rsidRPr="00F27D00">
        <w:t>The updated dashboard provides a more flexible decision-support tool, allowing HealthConnect Clinic to investigate high-risk patient groups and identify where targeted interventions may have the greatest impact.</w:t>
      </w:r>
    </w:p>
    <w:p w14:paraId="63B23A2F" w14:textId="77777777" w:rsidR="00E93E26" w:rsidRDefault="00E93E26"/>
    <w:p w14:paraId="17820DB8" w14:textId="77777777" w:rsidR="00E226EF" w:rsidRDefault="00E226EF"/>
    <w:p w14:paraId="1DA02C4D" w14:textId="77777777" w:rsidR="00E226EF" w:rsidRPr="00E226EF" w:rsidRDefault="00E226EF"/>
    <w:sectPr w:rsidR="00E226EF" w:rsidRPr="00E22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572AB"/>
    <w:multiLevelType w:val="multilevel"/>
    <w:tmpl w:val="987E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C70CC"/>
    <w:multiLevelType w:val="multilevel"/>
    <w:tmpl w:val="FF50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E3378"/>
    <w:multiLevelType w:val="multilevel"/>
    <w:tmpl w:val="9A06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76283"/>
    <w:multiLevelType w:val="multilevel"/>
    <w:tmpl w:val="0E34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B476B"/>
    <w:multiLevelType w:val="multilevel"/>
    <w:tmpl w:val="3488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42B71"/>
    <w:multiLevelType w:val="multilevel"/>
    <w:tmpl w:val="B4F2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26F1E"/>
    <w:multiLevelType w:val="multilevel"/>
    <w:tmpl w:val="2CA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85706"/>
    <w:multiLevelType w:val="multilevel"/>
    <w:tmpl w:val="6EC4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76621"/>
    <w:multiLevelType w:val="multilevel"/>
    <w:tmpl w:val="92D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3E2476"/>
    <w:multiLevelType w:val="multilevel"/>
    <w:tmpl w:val="45D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160D6"/>
    <w:multiLevelType w:val="multilevel"/>
    <w:tmpl w:val="766E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B1914"/>
    <w:multiLevelType w:val="multilevel"/>
    <w:tmpl w:val="8E04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D555A"/>
    <w:multiLevelType w:val="multilevel"/>
    <w:tmpl w:val="3CC6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95430">
    <w:abstractNumId w:val="9"/>
  </w:num>
  <w:num w:numId="2" w16cid:durableId="92826561">
    <w:abstractNumId w:val="11"/>
  </w:num>
  <w:num w:numId="3" w16cid:durableId="1006441983">
    <w:abstractNumId w:val="5"/>
  </w:num>
  <w:num w:numId="4" w16cid:durableId="1601062349">
    <w:abstractNumId w:val="1"/>
  </w:num>
  <w:num w:numId="5" w16cid:durableId="369257999">
    <w:abstractNumId w:val="4"/>
  </w:num>
  <w:num w:numId="6" w16cid:durableId="1002048849">
    <w:abstractNumId w:val="2"/>
  </w:num>
  <w:num w:numId="7" w16cid:durableId="1965967030">
    <w:abstractNumId w:val="3"/>
  </w:num>
  <w:num w:numId="8" w16cid:durableId="1784615214">
    <w:abstractNumId w:val="12"/>
  </w:num>
  <w:num w:numId="9" w16cid:durableId="1047686413">
    <w:abstractNumId w:val="8"/>
  </w:num>
  <w:num w:numId="10" w16cid:durableId="773399138">
    <w:abstractNumId w:val="10"/>
  </w:num>
  <w:num w:numId="11" w16cid:durableId="1224953131">
    <w:abstractNumId w:val="7"/>
  </w:num>
  <w:num w:numId="12" w16cid:durableId="244920544">
    <w:abstractNumId w:val="0"/>
  </w:num>
  <w:num w:numId="13" w16cid:durableId="150373981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6EF"/>
    <w:rsid w:val="001C4B4E"/>
    <w:rsid w:val="002D368B"/>
    <w:rsid w:val="004E7BF9"/>
    <w:rsid w:val="00893698"/>
    <w:rsid w:val="008A32FB"/>
    <w:rsid w:val="00E226EF"/>
    <w:rsid w:val="00E93E26"/>
    <w:rsid w:val="00F27D00"/>
    <w:rsid w:val="00F70E85"/>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4EB0"/>
  <w15:chartTrackingRefBased/>
  <w15:docId w15:val="{026B21EB-F3E8-1D4C-BF29-0A831DA54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2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2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6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6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6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6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2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2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6EF"/>
    <w:rPr>
      <w:rFonts w:eastAsiaTheme="majorEastAsia" w:cstheme="majorBidi"/>
      <w:color w:val="272727" w:themeColor="text1" w:themeTint="D8"/>
    </w:rPr>
  </w:style>
  <w:style w:type="paragraph" w:styleId="Title">
    <w:name w:val="Title"/>
    <w:basedOn w:val="Normal"/>
    <w:next w:val="Normal"/>
    <w:link w:val="TitleChar"/>
    <w:uiPriority w:val="10"/>
    <w:qFormat/>
    <w:rsid w:val="00E226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6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6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26EF"/>
    <w:rPr>
      <w:i/>
      <w:iCs/>
      <w:color w:val="404040" w:themeColor="text1" w:themeTint="BF"/>
    </w:rPr>
  </w:style>
  <w:style w:type="paragraph" w:styleId="ListParagraph">
    <w:name w:val="List Paragraph"/>
    <w:basedOn w:val="Normal"/>
    <w:uiPriority w:val="34"/>
    <w:qFormat/>
    <w:rsid w:val="00E226EF"/>
    <w:pPr>
      <w:ind w:left="720"/>
      <w:contextualSpacing/>
    </w:pPr>
  </w:style>
  <w:style w:type="character" w:styleId="IntenseEmphasis">
    <w:name w:val="Intense Emphasis"/>
    <w:basedOn w:val="DefaultParagraphFont"/>
    <w:uiPriority w:val="21"/>
    <w:qFormat/>
    <w:rsid w:val="00E226EF"/>
    <w:rPr>
      <w:i/>
      <w:iCs/>
      <w:color w:val="0F4761" w:themeColor="accent1" w:themeShade="BF"/>
    </w:rPr>
  </w:style>
  <w:style w:type="paragraph" w:styleId="IntenseQuote">
    <w:name w:val="Intense Quote"/>
    <w:basedOn w:val="Normal"/>
    <w:next w:val="Normal"/>
    <w:link w:val="IntenseQuoteChar"/>
    <w:uiPriority w:val="30"/>
    <w:qFormat/>
    <w:rsid w:val="00E22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6EF"/>
    <w:rPr>
      <w:i/>
      <w:iCs/>
      <w:color w:val="0F4761" w:themeColor="accent1" w:themeShade="BF"/>
    </w:rPr>
  </w:style>
  <w:style w:type="character" w:styleId="IntenseReference">
    <w:name w:val="Intense Reference"/>
    <w:basedOn w:val="DefaultParagraphFont"/>
    <w:uiPriority w:val="32"/>
    <w:qFormat/>
    <w:rsid w:val="00E226EF"/>
    <w:rPr>
      <w:b/>
      <w:bCs/>
      <w:smallCaps/>
      <w:color w:val="0F4761" w:themeColor="accent1" w:themeShade="BF"/>
      <w:spacing w:val="5"/>
    </w:rPr>
  </w:style>
  <w:style w:type="paragraph" w:styleId="NormalWeb">
    <w:name w:val="Normal (Web)"/>
    <w:basedOn w:val="Normal"/>
    <w:uiPriority w:val="99"/>
    <w:semiHidden/>
    <w:unhideWhenUsed/>
    <w:rsid w:val="00E226E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226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1432</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Nomagugu Moyo</dc:creator>
  <cp:keywords/>
  <dc:description/>
  <cp:lastModifiedBy>Claudia Nomagugu Moyo</cp:lastModifiedBy>
  <cp:revision>1</cp:revision>
  <dcterms:created xsi:type="dcterms:W3CDTF">2026-09-20T15:32:00Z</dcterms:created>
  <dcterms:modified xsi:type="dcterms:W3CDTF">2026-09-20T17:10:00Z</dcterms:modified>
</cp:coreProperties>
</file>