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46-year-old female patient was admitted to our department due to a cystic tumor in pancreatic body and tail. Routine chemistry and tumor marker levels (CA 19-9, CEA, CA 125) were all within normal limits. Abdominal CT scan and EUS showed about 5×4 cm sized, slightly septated cystic tumor between the body and tail of the pancreas (). There was no mural nodule, no calcification, and no eccentrically located mass within the cystic area. The benign mucinous cystic tumor of the pancreas was the most favorable preoperative diagnosis. The operation sequence was similar to usual laparoscopic distal pancreatectomy except trocar placement (). The robotic camera arm and other three instrument arms were then connected to their respective ports. At this point, the surgeon sat at the surgical console located about 3 m from the operating table. The assistant surgeon was positioned on the patient's left side for temporary use of laparoscopic instruments through Port 4. In spite of our previous experiences of robot surgical system, the cystic tumor and the remaining splenic vessels were so closely adherent that bleeding was frequently encountered, and most operation time was spent for this process. The risk of cyst rupture was also considered when we tried to separate and divide the small splenic vessels from pancreatic cyst (). Therefore, concomitant segmental resection of splenic vessels was thought to be necessary for spleen preservation. Total operation took about 480 minutes, and about 800 mL of blood loss was noted without blood transfusion. The specimen was delivered through the umbilical port site with small vertical incision after putting into the plastic bag. The patient recovered without complication. She returned to an oral diet on the postoperative second day. After the drain was removed, she was discharged on the fifth day post-operation. The final pathologic examination revealed that the tumor was benign mucinous cystic neoplasm without any characteristics of malignant potential (). A color doppler ultrasound scan obtained 14 days after surgery showed no evidence of splenic infarction and well preserved blood flow within the spleen without definitive peripancreatic fluid collection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