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55-year-old female presented to the ophthalmology department of the hospital with complaints of a painful swelling in the left eye. The swelling had been gradually increasing in size over the last 8 months with dull continuous pain in the eye and periorbital area. There was progressive diminution of vision for the last 6 months in the affected eye, and at the time of presentation in the hospital, the affected eye was completely blind. The progressive increase in the size of the swelling and pain in and around the eye compelled the patient to avail hospital services. The treatment history was not significant. The patient was being treated by a local doctor with eye drops and certain oral medicines the records of which were not available with her. She did not have any history of significant ocular disease or any ophthalmic surgery. There was no history of similar disease in the family.\nOn examination, an intraorbital mass protruding from the left eye was visible. Axial proptosis with stretched out sclera along with dilated blood vessels covering the entire exposed part of the eye ball was seen. The underlying cornea was barely visible through the widened palpebral aperture with hyperemic keratinized conjunctiva tissue. The swelling was more prominent in the region superior to the upper eye lid. The skin appeared stretched along with dilated vessels in the superior part of the eye ball []. On palpation, the mass was tender and soft in consistency. Fundus examination was not possible because of overlying vascularized keratinized tissue over cornea. The intraocular tension was also not recorded because of these reasons. The status of the pupil of the diseased eye could also not be commented upon, even though it appeared slightly dilated. The patient had no perception of light in the left eye. Ophthalmological examination of the right eye did not show any abnormality both in the anterior as well as in posterior chamber. The fundus examination of the right eye was normal. The intraocular tension of right eye was also normal.\nSystemic examination of the patient was normal. Breast examination and gynecological examination were also normal. Clinically, at that stage, differential diagnoses of metastatic carcinoma, astrocytoma, and adult-onset retinoblastoma were considered by treating ophthalmologist and investigations were planned.\nBlood examination was within normal limits. This included hemoglobin values, total leucocyte count, differential leucocyte count, and erythrocyte sedimentation rate. Peripheral blood smear was normal. The kidney function tests, liver functions tests, serum alkaline phosphatase, serum calcium, and serum phosphorus were normal. Urine examination was also normal. Electrocardiogram was also normal.\nNoncontrast computed tomography (NCCT) scan off the orbit and Para Nasal Sinuses (PNS) revealed marked left proptosis with markedly expanded left ocular globe by a hyperdense mass, few cystic components with extension into left anterior cranial fossa, left anterior ethmoid, left frontal sinus, left frontal fossa soft tissues with destruction of left orbital walls, and great wing of sphenoid bone []. A precise diagnosis was not possible based upon CT findings. The radiologist considered provisional diagnosis of primary intraocular tumor, metastatic carcinoma, malignant melanoma, or lymphoma and advised further investigations. Chest CT and abdomen ultrasonography were carried out and found to be normal. The patient was referred to us for fine needle aspiration cytology (FNAC) at this stage.\nFNAC was done using a 22-gauze needle. Smears were prepared, air dried, and stained with Giemsa stain and Periodic Acid Schiff's stain (PAS stain). The microscopic examination of Giemsa-stained smears showed small, round cells in cluster and rosettes formation, suggestive of retinoblastoma []. PAS positive granules in the cytoplasm of tumor cells were seen in PAS-stained smears, consistent with the diagnosis of retinoblastoma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