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30-year-old woman was admitted to our institution in June 2002 for the treatment of a giant fusiform aneurysm of the basilar trunk. A giant ICA aneurysm had been found during a previous evaluation of abducens nerve palsy on her right side in November 2001 (). At that time, a tortuous basilar artery had been found, but without any aneurysmal dilatation (). She had undergone endovascular trapping of the giant fusiform aneurysm, involving the petrous to cavernous parts of the right ICA, at another hospital (). However, she developed severe headache seven months after the treatment. At the time of admission, she complained of progressive dyspnea, as well as dull headache in the occipital area. Neurologic examination revealed a 6th cranial nerve palsy on the right side and increased deep tendon reflexes in the four extremities. On MR imaging, a giant aneurysm of the basilar artery was found to be compressing the brain stem (). Cerebral angiography showed a fusiform giant aneurysm, with an irregular contour, involving the basilar trunk (). The left anterior inferior cerebellar artery originated just proximal to the basilar trunk aneurysm. In addition, another de novo small paraclinoid aneurysm was found on the left ICA.\nTo relieve the brain stem compression, we decided to obliterate the basilar trunk aneurysm in spite of the risk associated with this intervention. In advance of performing endovascular embolization of the aneurysm, a high-flow bypass from the external carotid artery to the middle cerebral artery was performed using a saphenous vein graft. This is because occlusion of the basilar trunk would have endangered the blood supply to the posterior circulation, leaving the left ICA as the only vessel responsible for the perfusion of the entire brain after the basilar trunk occlusion, since the patient had already undergone occlusion of the right ICA. The bypass supplied the right middle cerebral artery territory (), and an adequate blood supply to the upper portion of the posterior circulation was maintained via the left posterior communicating artery (PCoA). During surgery, part of the occluded right ICA was sectioned and referred for pathologic examination, in an attempt to determine the etiology of the rapid sequential development of the giant fusiform aneurysm.\nFollow-up angiography, performed three days after the bypass surgery, revealed a patent bypass graft. After a test balloon occlusion at the level of the proximal basilar artery, which ensured adequate perfusion to the upper parts of the brain stem and cerebellum through the left PCoA (), coil embolization of the basilar trunk aneurysm was done. Fourteen detachable platinum coils with a total length of 155 cm were deployed in the aneurysm. Upon completion of the embolization procedure, the blood flow to the posterior circulation through the PCoA was maintained well, with near-complete occlusion of the aneurysm (). Postprocedural heparinization was not done. The patient was managed in the neurosurgical intensive care unit and recovered without further neurologic deficit. However, six hours after the end of the embolization procedure, the patient developed dyspnea, dysarthria, and quadriparesis. Intubation and ventilator care was undertaken, and heparinization was started. Enlargement of the aneurysm due to thrombus was revealed by MR imaging, and angiography confirmed complete occlusion of the aneurysm. The patient became stable after two days and, one month after the intervention, independent daily activity became possible and she was discharged from hospital. Pathologic examination of the vessel specimen showed intraluminal projections of fibrous tissue with smooth muscle and capillary proliferation, but failed to reach a definite etiologic diagnosis.\nFollow-up angiography performed three months and one year post-treatment, respectively, revealed complete and stable occlusion of the basilar trunk aneurysm and good perfusion to the entire brain. MR imaging showed marked shrinkage of the aneurysm of the basilar trunk, with no evidence of brain stem compression (). In contrast, the size of the carotid fusiform aneurysm showed no significant change. The patient is currently leading a normal life as a housewife.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