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Staged bilateral total hip arthroplasties were performed on a 55-year-old man with a neglected untreated history of DDH, who gradually developed severe bilateral hip joint arthritis. The chief complains included bilateral hips and knee joints pain on walking associated with a progressive limitation in the range of hip motion and walking ability distance day after day. The history of the present problem went back to the age 45 with an incident of the low back pain repeated at the ages 50 and 52; each time relieved by conventional bed rest and other conservative measures. The progressive changes in lumbar spine (L2-L3) including discopathies and stenosis of the spinal canal were also contributed to his limitation of walking ability for last 10 years.\nThe patient was born as the last member of a large size family of a second degree consanguineous traditional marriage, with the maternal age 43, having 3 sisters and 4 brothers without hip disease. In the past medical history, the patient presented a history of the right nasolacrimal stenosis operated at the age of 3 and 8, right inguinal hernia operated for at 1 and 3. A suspected dentine dysplasia characterized by deciduous and permanent teeth with clinically normal appearing crowns, some hypermobility and spontaneous dental abscesses started in childhood and ended with the loss of all teeth at the age of 22 to 27. An unsuccessful closed reduction of the left hip joint at the age of 11 put in spica cast from the tip of the toe up to the chest level was performed and immobilized for 9 months. A history of night bedwetting, up to the age of 11, due to urinary reflux evolving in the left renal regression and hypoplasia, accidentally revealed upon a renal infection and diagnosed by renal angiography at the age of 22. A problem of ingrown toe nail started from the age of adolescence with multiple recurrence after a surgical correction was noticed. Two attacks of the left ear Menier’s disease reported to be experienced at the age of 33 and 44 years, ended with the total hearing loss and a residual continuous tinnitus. The patient and family had a habit of W-sitting from the childhood. The patient had no history of smoking or alcohol use. NSAIDS was the only medication he received. He was married having two children, a daughter (16 years old) and a son (15 years old), none of them having hip problems.\nPhysical examination revealed marked limitation of motion with some pelvic obliquity, a positive bilateral Trendelenberg test, mild gluteal asymmetry, apparent limb length discrepancy, severe crepitation during hip flexion, and painful hip in long time standing and walking.\nThe pelvic X-ray showed false acetabulum, broken Shenton’s line which was worse on the left side, severe arthritis changes such as diminished joint space, ossified neolimbi on both sides as shown in (arrows), large osteophytes and bony spurs, loss of cartilage, massive sclerotic changes on both sides, dislocation on the left and subluxation on the right side. Increased anteversion of the femoral neck of the left side and lateral views are shown in lateral views of both hips ( and ).\nUneventful cementless total hip arthroplasties were performed on both hips. The acetabular cups were placed close to anatomic true acetabulum. Post-op anteroposterior view of the pelvis shows implantation of the femoral and acetabular components (Titanium cementless press fit). The movement occurs between a chrom-cobalt head on a highly cross linked polyethene liner ().\nThe patient got ambulated walking with crutches the day after the surgery and was able to walk without crutches six weeks after the second operation. During the first six week post-op, conventional physical therapy was instructed. No leg length discrepancy was noticed seven days after the second THR operation and remained as such thereafter (). This is demonstrated by the symmetrically located stem part of the prostheses in relation to the pubic ramus verified by equally broken Shentons’ lines shown in the post-op pelvic radiograph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