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22 year old male patient had sustained chest injury by a metal splinter under moderate velocity. He presented with an entry wound in the 9th intercostal space, anterior axillary line on the right side. He was hemodynamically stable and had no respiratory symptoms or signs and abdomen was normal. Two coordinates of X-ray chest revealed the presence of foreign body in the (R) hemithorax, we suspected that the foreign body could be in the thoracoabdominal cavity based on the mechanism of injury. CT scan confirmed our suspicion that a sharp foreign body was indeed in the (R) thoracic cavity, not close to major vessels. There was a minimal pneumothorax which was not evident clinically. This sharp foreign body mandated removal. We decided to try minimal access surgery but with full preparations for open thoracotomy in case of failure. He needed one lung ventilation as a prerequisite for thoracoscopy. Hence the procedure was done under general anesthesia and intubated with a double lumen tube. He was placed on the anterolateral right thoracotomy position. Single lung ventilation was instituted. In addition CO2 insufflation was given up to 5mm Hg, for safer initial trocar placement and better visualization of hemithorax. A 10mm camera port was placed in the (R) 5th intercostal space in the anterior axillary line. A 5 mm working port was placed in the same intercostal space. The foreign body was seen on the inferior surface of the lung and removed through the 10 mm port Figures and . The rest of the thoracic cavity and diaphragm were found to be normal. An intercostal tube was placed in the 10 mm port site. He had no adverse event intraoperatively and promptly recovered from anesthesia, with a well expanded lung that was confirmed clinically and with a bedside X ray. However, we still continued to ventilate him electively for 18 hours as our experience with one lung ventilation is limited. He was extubated and ICD removed the same day. He was discharged on the second postoperative day. He is followed up regularly and is doing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