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third patient, a 23-year-old woman with recurrent severe depression (see under results Case 3) experienced a prolonged seizure, which was stopped by intravenous application of benzodiazepine. This event mirrored the AEs, which required medical action by a doctor as reported in Case 2.\nThe young lady was a patient with an unusually high health risk for her age because of being obese and suffering from diabetes. Epidemiological studies on the relationship between diabetes and epilepsy reached discordant conclusions. However, it has been reported that metabolic abnormalities, such as hypoglycemia and hyperglycemia, may increase the prevalence of epilepsy (). In this line, there are data-driven considerations that mechanisms for the comorbidity of obesity and epilepsy are mitochondrial dysfunction and adiponectin deficiency, which promote epilepsy, obesity, and type II diabetes mellitus (). While fundamental mechanisms of the relationship between diabetes and epilepsy remain a matter of discussion, hypoglycemia is an accepted reason for the occurrence of seizures in young patients with epilepsy (). The ECT patient reported here showed elevated blood sugar levels. However, a decline in the blood sugar level during the previous night and due to the ban of breakfast before ECT, which was applied in the early morning hours, could not be ruled out. While the occurrence of a prolonged seizure after the reduction of blood and brain sugar glucose level would be a possible explanation for our patient’s AE, its probability appears to be low. Epileptic seizures with changes in the blood sugar level are rare and not as common as previously assumed and require significant hypoglycemia to occur ().\nThe patient did not show any changes in her respiratory function during ECT despite being overweight. Her obesity might have been a risk factor for altered respiration, in particular when being related to upper airway obstruction and sleep apnea syndrome (SAS; ). SAS is well known to increase the risk of anesthesia-related AEs (; ), in particular when spontaneous breathing is needed during intravenous anesthesia. While being obese, no sleep-related respiratory disorder was present in this patient. Nevertheless, her case may remember doctors to consider SAS when examining a patient for ECT, and to use ambulatory screening instruments (; ) to assess SAS if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