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 the 24th April 2006 a 9 month old girl was brought to the Emergency Department of a hospital which routinely refers patients to us. She had sustained a dog bite to her face 30 minutes previously. She was seen by the emergency physicians and was found to have received multiple lacerations to her face over the right zygoma, right paranasal area, right cheek, left eye lid, left paranasal area, left lower cheek and over her left body of her mandible. She was fully examined and found to have no wounds elsewhere however due to the circumstances of patient and parental distress, intra-oral examination was not possible. The initial work up did not include radiographic investigations as it was felt by the emergency physicians that only a soft tissue injury was sustained. On the advice of the on-call maxillofacial team she had her facial wounds cleaned with aqueous iodine solution and she was started on an oral course of Co-Amoxiclav and paracetamol. An examination by the ophthalmologist revealed no ocular injury.\nShe was transferred to our unit the following day, fasted in preparation for an examination under general anaesthesia and primary closure of her facial lacerations. During the procedure it was found that she had sustained an open fracture of her left mandible consistent with a dog bite. (fig ). This was treated via a trans-oral approach with a five hole 1.2 mm titanium plate and four 3 mm screws. (fig ). She had her facial laceration copiously irrigated with normal saline and chlorhexidine and primarily closed in with a fine nylon suture. She was discharged home the next day. Seven days later she attended for removal of sutures under a general anaesthetic and examination of her jaw. The facial wounds were healing well and there was no movement at the fracture site. Ten weeks after the first operation she was admitted for removal of her mandibular plate under general anaesthetic. There was good bony union and the plate was removed with no complications (fig ). She will continue to be reviewed in clinic to monitor dentoalveolar development and mandibular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