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50-year-old woman with left breast cancer was referred to the Plastic Surgery Department for immediate breast reconstruction. She had a history of subarachnoid hemorrhage and a lumbar peritoneal shunt tube had been implanted in her abdomen to treat hydrocephalus. She had no other obvious sequelae from the subarachnoid hemorrhage and her medical condition was quite stable with the shunt. Her breasts were large and drooping (), and left nipple areola sparing mastectomy was scheduled. A preoperative computed tomography scan showed the shunt tube, which pierced the intervertebral lumbar and traveled through the subcutaneous layer of the left trunk () and entered into the abdominal cavity from the outer edge of the left rectus abdominal muscle ().\nIn the selection of the reconstruction method, we thought that abdominal flap would be suitable because implant reconstruction would not achieve morphologically favorable results and because a latissimus dorsi musculocutaneous flap would not have sufficient volume. However, it was considered that the shunt tube might cause difficulty in the elevation of the flaps.\nWe consulted brain surgeons on the feasibility of the abdominal flap operation and decided to withdraw the tube from the abdominal cavity once, when the flap was elevated, and to reinsert it upon the closure of the donor site. The patient consented to our preoperative explanation of the procedure and indicated that she desired to undergo DIEP flap reconstruction.\nShe underwent nipple areola sparing mastectomy of the left breast and immediate DIEP flap reconstruction. In the elevation of the flap, a skin incision was first made around the whole circumference of the flap and dissection was carried down to the muscle fascia. The shunt tube was confirmed above the fascia on the left side of the abdomen. The perforator vessel passing through the right rectus sheath, which had been confirmed by color Doppler ultrasound on the day before surgery, was secured and dissected to the right deep inferior epigastric vessels. As the shunt tube was placed on the left side, we prepared the pedicle of the DIEP flap on the right side. Although we could have used the penetrating branch on the left side containing the shunt tube, we considered that using the penetrating branch on the right side that had not previously undergone surgical operation would be safer. The shunt tube, which was located on the fascia, was covered with fibrous tissue and was not directly exposed (). However, on the closure of the donor site, the shunt tube was obstructed as it was excessively bent. We, therefore, dissected the tube from the surrounding tissue and temporally withdrew it from the abdominal cavity and re-inserted it 5-cm caudal from its original position by a brain surgeon (). After surgery, the patient had a smooth recovery and we found no signs of increased intracranial pressure or complications of abdominal wall. Partial necrosis of the spared skin of the breast occurred but was successfully treated following a conservative approach.\nSince her breast cancer was less than 1 cm in diameter and classified as clinical stage 1 (T1N0M0), adjuvant therapy after surgery was expected to be unnecessary. Thus, immediate reconstruction was performed. However, a sentinel lymph node biopsy was positive, and broad invasion of the primary tumor was observed in the pathological examination. Therefore, she received postoperative chemotherapy and radiotherapy, and there was no recurrence of the breast cancer and her reconstructed left breast showed good shape and symmetry in comparison with the right breast at one 1 year after surgery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