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55-year-old female admitted to us with complaints of 40% acute flame burns to the neck, chest anterior abdominal wall, and upper limbs. The patient had a history of multiple abdominal surgeries secondary to tuberculosis 10 years back. She had an exploratory laparotomy which ended up having a burst abdomen, for which a temporary colostomy was done and closed, due to which she developed a large ventral hernia. Five years later, the patient underwent an open mesh repair, which got infected, and the mesh had to be removed. When she presented to us, the skin over a ventral hernia had second-degree deep dermal burns which were grafted. The patient after rehabilitation from burn wounds came back again for a ventral hernia repair. The patient had Type 2 abdominal wall defect []. The patient deferred the option of the microvascular free flap.\nWe planned a TFL graft harvested from the left thigh for closing the rectus defect and an islanded TFL myocutaneous flap from right thigh for the abdominal defect.\nOn the table, the edge of a hernia was incised. The skin adherent to peritoneum was excised. There was a defect of 20 cm × 12 cm in the lower two-third of the abdomen in the midline. A fascia lata graft was harvested from left thigh measuring 18 cm × 10 cm and sutured to the edge of the abdominal wall []. On the right side, the TFL islanded flap was elevated of about 30 cm × 10 cm in dimension and turned 120° for the distal end of the flap to reach the upper limit of the abdominal defect []. The segment between the proximal end of the flap and the lower end of the abdominal defect in the right iliac region was incised and opened up to the external fascia to accommodate the bridging segment of the flap. The fascia was reinforced to the inside wall edge, and the skin was sutured with a closed suction drain. The donor area was closed primarily [].\nThe postoperative period was uneventful. The closed suction drain removed on the 6th postoperative day, and the sutures were removed on the 14th postoperative day. At 6-month follow-up, no herniation of the abdominal contents was obtained. Thigh donor site healed without any complications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