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88-year-old man was transferred from a referring hospital for descending thoracic aortic injury after attempted pacemaker placement; 3 days prior he was admitted with a transient ischemic attack. He had new onset atrial fibrillation and sinus bradycardia that prompted pacemaker placement. Left subclavian access was attempted after a pocket was created. After placement of a five French sheath, arterial blood return was noted. The sheath was left in place and the procedure was aborted. The patient was hemodynamically stable and taken to computed tomography (CT) scanner for evaluation of arterial injury. The CT scan revealed direct cannulation of the aortic knob with the sheath. The patient was directly transferred by helicopter to our institution for higher level of vascular surgery care. The patient arrived intubated and sedated with the sheath in place in the left chest covered with a dressing and a left chest tube in place with 100cc of sanguinous output.\nThe patient was taken to the hybrid operating room in our facility. Bilateral percutaneous femoral access was obtained and a five French sheath was placed in the right common femoral artery, and initially, a seven French sheath was placed in the left common femoral artery. We placed two proglide devices in the left access in standard preclose technique as this was our anticipated side of device deployment. At this point, a pigtail catheter was advanced into the ascending aorta and an arch aortogram was performed which demonstrated a direct cannulation of the aortic knob (). We elected to proceed to with stent graft placement to manage this injury as the patient’s comorbidities and advanced age were prohibitive risks for open repair. Prior to the placement of an endoprosthesis, a cerebral angiogram was performed to identify cerebrovascular dominance. This demonstrated a dominant right vertebral artery and left vertebral atresia. There was adequate distance from the site of sheath insertion to the left subclavian artery, such that we felt we could achieve a seal without covering the left subclavian artery. Based on our preoperative measurement of our anticipated proximal and distal seal zones, the aortic diameter was 32 mm. Therefore, we selected a 36 mm × 160 mm Valiant thoracic aortic stent graft (Medtronic, Santa Rosa, CA) and advanced and deployed the device distal to the origin of the left subclavian artery. The sheath was removed from the aorta and the device was deployed simultaneously. Angioplasty was then performed with a Coda compliant balloon. Repeat arch and thoracic angiography revealed successful sealing of the injury site and no evidence of extravasation. Additionally, the left subclavian remained patent (). We removed the 24 French sheath from the left femoral access and successfully closed the arteriotomy with the proglide devices. The right groin access was managed with direct pressure. The patient had an uneventful post-operative course. The chest tube output was minimal and serous the remainder of his hospitalization and was removed on post-operative day 4. He was discharged to home on post-operative day 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