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60 year old male presented with Staphylococcus aureous infection of his endocardial pacing system. His past medical history was remarkable for mild dilated cardiomyopathy, ventricular tachycardia, a biventricular endocardial pacing for cardiac resynchronization therapy, and several previous percutaneous endocardial pacing system implantations via the right and the left subclavian veins. The pacing leads and box were removed and the infection was treated with antibiotics. Due to subclavian vein stenosis and pacing box pocket infection, transvenous approach for implantation of a new pacing system proved not to be feasible. Therefore he was referred for surgical implantation of a new epicardial pacing system.\nA lower half limited median sternotomy was performed starting from the xiphoid process, up to the level of the third intercostal space. A second limited transverse sternotomy was performed starting from the left third intercostal space and joining the midline sternotomy (Figure ). The pericardium was opened in the midline, providing excellent exposure and easy access to both the right atrial appendage and the right ventricle. The right atrial leads were sutured to the surface of the right atrial appendage, while the right ventricular bipolar leads were sutured to the anterior muscular part of the right ventricle. Access to the left ventricle was achieved by gently lifting up the heart, using an epicardial tissue stabilizing system and exposing the lateral wall of the left ventricle with no hemodynamic compromise. The left ventricular lead was screwed into the proximal part of the lateral wall between the obtuse marginal arteries and then the defibrillator patch was sutured to the distal lateral wall. It was made sure that there was a good orientation between the patch and the pacing box which was subsequently inserted in the sheath of the right rectus muscle. The thresholds on the pacing leads were checked and the defibrillating patch was tested. A right subcostal incision was made and a pocket was created in the lateral side of the right rectus muscle. The pacing wires were tunneled between the right hemi-diaphragm and the lateral edge of the right rectus muscle, into the pacing box pouch and connected to the pacing box. Defibrillation threshold testing was performed, and the lowest effective threshold was found to be &lt; 10 Jules. The sternum was approximated using interrupted stainless steel wires. Sternotomy and subcostal incisions were closed in layers. The patient had a good post operative recovery and was discharged home on day 4 after the operation. Follow-up studies showed well functioning biventricular pacing system, stable pacing lead positions (Figure ), good biventricular synchronized function, and no pericardial effusion.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