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81-year old woman was referred to our department to evaluate a wound dehiscence on her left knee with hardware exposure. The patient did not have any relevant comorbidities and her general status was good. The patient underwent a total left hip arthroplasty at the age of seventy four due to severe osteoarthritis pain that hindered baseline activities. Eight years later, the patient presented to the orthopedics department with a progressive pain in the affected hip, particularly when walking, causing difficulties in deambulation.\nAn X ray examination revealed an extensive femoral bone loss with displacement of the femoral component, and an MRI showed a femoral pseudo-tumor (bone proliferation). With this finding, a revision total hip arthroplasty was performed with the insertion of a reconstruction ring with cemented dual mobility cups. Three weeks after this last surgery, the patient started with early symptoms of infection (high fever, suppuration, no wound healing and laboratory abnormalities); an attempt at conservative management with intravenous antibiotic, irrigation and suction drainages was unsuccessful and a replacement of the endoprosthesis femur in two stages was planned.\nIn the first stage, the previous prosthesis was removed with enlarged osteotomy of the anterior tuberosity and a cement spacer with antibiotic was placed. Two months later, the spacer was removed and a new coated silver total femoral prosthesis was placed. The patient was referred to our unit four weeks after the last surgery for the assessment of wound dehiscence to the lateral knee with hardware exposure. The patient was taken to the operating room for retention debridement and wound coverage with a flap. Our first decision was to cover the defect with a lateral gastrocnemius flap, however, the surrounding area was highly scarred, and the gastrocnemius muscle was found to be very atrophic and no suitable to fit the large defect. shows no other local flaps to be large enough to cover the whole defect, so we opted for a free flap.\nA lack of receptor vessels was evidenced, descending genicular artery was dissected, but small caliber and calcified plaques in the lumen discarded this option. With the need of a suitable and large vessel close to the defect, we opted for an AV loop that was constructed with ipsilateral greater saphenous vein. The femoral artery was found to be very atherosclerotic, but a healthy segment free of calcific plaque on the middle third of the vessel was used to perform the anastomosis of the vein graft in end-to-side fashion ().\nA latissimus dorsi musculocutaneous flap with a large skin paddle was transferred to the lateral knee defect, and the thoracodorsal artery and vein were anastomosed in an end to end fashion to the limbs of the loop. The flap was properly inset to provide adequate bulk and to avoid dead spaces (). Donor site was closed primarily. Intraoperatively, no incidences occurred and the flap appeared well perfused. The patient was extubated and transferred to the recovery room in stable condition with standard clinical monitoring. Tissue oximetry system (INVOS CO.) was used 72 hours after the surgery. Three drainages were left, two of them in lower limb placed in lateral knee and lateral hip and one in donor area of the flap. Drainages were retained until output was less than 30 ml per day.\nWound healing properly evolved as well as the patient started rehabilitation during admission. The patient received Daptomycin (700 mg/d iv) and fosfomycin (2 g/6h iv) during 6 weeks, according to the infectious medicine protocol. The patient started walking uneventfully with a walking frame one month after surgery. The patient was enrolled in an outpatient rehabilitation program with close monitoring. At present time, the patient is able to ambulance without the need of assistant devices and there are no signsor symptoms of infection recurrence.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