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18-year-old male patient (height 140 cm, weight 20 kg) was referred to our hospital for dental treatment under general anesthesia with a chief complaint of an inability to open his mouth wide for dental treatment. The patient was diagnosed with spinal muscular atrophy (SMA) at one year of age through muscle biopsy. While he has clear consciousness, he has never walked, as he was unable to move his arms or legs. Since the age of 8, when he suffered aspiration pneumonia, he been completely bedridden and has been using continuous positive airway pressure (CPAP) during sleep. The patient usually has his neck turned to the left because he has difficulty breathing and sometimes experiences signs of dyspnea when he turns his neck to the right. He underwent two rounds of general anesthesia for scoliosis surgery in 2008 and 2010, and had a history of tracheostomy for dyspnea that occurred in the intensive care unit (ICU) after undergoing general anesthesia for the second time. In a limited manner, the patient was able to voluntarily open his mouth and was able to eat regular food. The patient has been complaining of pain in his TMJ and temporal area during mouth opening for 10 years, which hindered him from receiving treatment for long-term molar pain.\nTherefore, he was referred to undergo general anesthesia for treatment of the molar area. However, we decided to defer general anesthesia due to a high risk of respiratory complications based on his medical history and physical examination, and instead performed local anesthesia of his TMJ area. We determined that the patient had severe pain in the bilateral temporal and TMJ area due to hyperextension of the mouth closing muscle while opening his mouth, and perform local anesthesia to alleviate tension in the TMJ and mouth closing muscle area during dental treatment. At the dental clinic, 1 mL 0.5% levobupivacaine was injected on each side of the TMJ and temporalis fascia before performing oral and maxillofacial surgery (). In approximately 10 minutes, the patient reported feeling no pain while opening his mouth, and oral examination and the required dental treatments were performed while monitoring his oxygen saturation levels. During the examination, his #36, #45, and #46 teeth were identified as severely carious with exposed pulp in addition to a severely carious #26 tooth, moderately carious #13, #37, and #42 teeth, and mildly carious #43 tooth. Hence, we extracted #36 and #46, and performed restorative treatment and root canal for #37 and #45, respectively. The patient maintained a limited degree of mouth opening ability (20 mm), and remaining treatments were conducted in subsequent visits without additional local anesthesia of the mouth closing muscle and TMJ.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