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12-year-old female child presented to us initially when she was 5 years old with an episode of generalized convulsion, loss of consciousness and left sided hemiplegia. A non-contrast CT scan done at this time showed a right posterior frontal hematoma. CT angiography did not show any evidence of a vascular malformation. Digital substraction angiography did not show any arteriovenous malformation, though an early draining vein was visualized []. The patient was managed conservatively. The patient presented 1 year after the episode. She had improved in power in her left sided limbs which was now Grade 3-4/5. She was able to walk on her own with little support. A MRI was performed that showed resolution of the hematoma and the presence of a gliotic cavity. A contrast image showed the normal vessels in the region, and there was no evidence of any flow voids in the region of the cavity. MR angiogram performed at the same time also did not show any evidence of an arteriovenous malformation or nidus []. The patient was again observed and asked to follow-up. The patient presented after 4 years, at the age of 9 years, with complaints of intermittent episodes of seizures. A MRI was again repeated which showed the gliotic cavity on T1 weighted scan. On T2 weighted image, some abnormal vessels were seen in the region of the gliotic cavity. MR angiography showed the presence of an arteriovenous malformation fed by the branches of the middle cerebral artery []. A four vessel angiogram was performed which showed an arteriovenous malformation fed by multiple anterior branches of the middle cerebral artery and drained via multiple veins in the superior sagittal sinus. The patient was advised surgery at this time, but since she only had intermittent episodes of seizures the parents were not willing for surgery. One year after this the patient again presented with complaints of intractable seizures. Digital substraction angiography showed the arteriovenous malformation, similar in size and configuration as was seen earlier []. The patient was now operated. The arteriovenous malformation was resected with routine surgical steps and considerations. The arteriovenous malformation was of significantly high-flow, but could be safely dissected and resected. Post-operatively the patient did well and she did not have any added neurological deficit. Post-operative angiogram showed excision of the arteriovenous malformation. At a follow-up after 1 year of surgery, she was well and was free from convulsions. Her hemiparesis persisted.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