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26 year old male presented with increasing right knee pain and functional debility with a history of osteochondritis dissecans and having had multiple past surgical interventions. He was otherwise well, though was currently unable to perform any activities that involved prolonged weight bearing and found it increasingly difficult to continue his occupation within allied health care.\nThe patient noted an initial diagnosis of OCD at age 13. This was appropriately treated conservatively with a period of reduced load and protected weight bearing. He was later able to return to sport - which included Australian Rules football.\nDue to recurrence of pain he underwent arthroscopic examination at age 14. Arthroscopic probing of the OCD lesion indicated that it was stable and conservative management and further unloading was pursued. The patient failed conservative management and 1 year later underwent a repeat arthroscopy at which time an unstable 3 cm × 3 cm lesion involving his medial femoral condyle was removed. It was felt that as the fragment had little subchondral bone that direct repair was not achievable. A further arthroscopy was performed 8 months later and a chondral biopsy was taken for later autologous chondrocyte transplantation. At the time it was noted that no healing had occurred at the site of the defect.\nTwo months later, the treating surgeon, using a lateral arthrotomy approach, patched the defect using a matrix induced autologous chondrocyte implant (MACI). The patch was fixed in place using fibrin glue. One year later, and due to persistent discomfort and swelling of the knee, the patient underwent a further arthroscopy. It was noted that the outer rim of the MACI patch had incorporated well, yet an inner area of 1.5 cm × 1.5 cm had failed to fill completely.\nAt age 23 and due to troubling discomfort and mechanical features of instability the patient underwent another arthroscopy. Numerous loose bodies within both the medial and lateral compartments were washed out. The area of the past OCD and MACI graft had failed with exposure of underlying subchondral bone and formation of a large subchondral cyst. Unstable edges of the area of MACI graft were debrided but as the entrance to the subchondral cyst was small a surgical decision was made not to further expose nor debride the cavity.\nFailing to symptomatically improve, the patient underwent a further arthrotomy with debridement of the subchondral cyst, after which it was filled with bone graft substitute cortico-cancellous crunch granules. A periosteal flap taken from the medial border of the tibia was then applied over the lesion. The patient underwent a final arthroscopy at age 25 for debridement of an unstable fibro-cartilaginous cap at the site of the past periosteal flap.\nIn total the patient underwent seven separate operations.\nInitial examination upon presentation showed evidence of a moderate right knee effusion. The patient had full range of motion and the knee was stable.\nRadiological examination included both X-Ray and MRI. X-Ray confirmed early degenerative change with intercondylar notch osteophytes consistent with Kellgren-Lawrence Grade II. There was noted concavity to the lateral aspect of the medial femoral condyle consistent with the previous area of OCD (Fig. ). MRI showed marked abnormality over the weight bearing portion of the medial femoral condyle measuring 2.3 cm × 1.5 cm. The subchondral cyst had successfully been debrided and grafted and was no longer present on MRI. A thin layer of hyper-intense tissue incompletely covered the area of abnormal cortex (at site of past bone substitute grafting) (Fig. ). The area of pathology had a modified International Cartilage Repair Society (ICRS) score of 4. In addition to routine MRI protocols, the method of T2-relaxation time cartilage mapping was used. T2 mapping indicated significantly elevated values within the thin layer overlying the osteochondral defect but also elevated values within the surrounding cartilage (Fig. ).\nThe patient sought advice regarding further interventions that may improve both his current symptoms but also his long-term prognosis as he wished to avoid progressive degeneration and early joint arthroplasty. After careful consideration and as he now had features of early degenerative change he was assessed as suitable for inclusion in an ethics approved, registered case series on the use of adipose derived MSC therapy in the treatment of osteoarthritis.\nThe patient was given written information regarding the use of MSC therapy, including relative risks of MSC therapy and also relevant treatment alternatives that could otherwise be explored. Formal written informed consent was obtained prior to commencing therapy.\nAdipose tissue was chosen as a source of MSCs due to ease of harvest, abundance of MSCs and the observed chondrogenic potential of adipose derived MSCs. Bone marrow aspirate was considered an alternative source or MSCs but surprisingly has a relative paucity of MSCs – comprising .001–.02% of the mono-nucleated cell population in comparison to ~1–7% found within adipose tissue [–]. Many studies have indicated similar chondrogenic potential between bone marrow derived and adipose derived MSCs [].\nThe patient underwent an abdominal liposuction harvest procedure. Using a lateral abdominal approach, the subcutaneous fat was infiltrated with an anaesthetic tumescent fluid preparation comprising of 30 mls of 2% lignocaine, 1 ml of 1:1000 adrenaline, 1 ml of 8.4% bicarbonate suspended in a normal saline solution (total 1000 ml). Using a 4 mm lipo-aspirate cannula, 60 mls of adipose tissue and tumescent fluid was successfully harvested and collected within a sterile medical grade single use Shippert Tissu-Trans Collection filter (Shippert Medical, Colorado, USA). The sample was then transferred directly from the theatre via an air lock system to a laboratory clean room facility operated by Magellan Stem Cells (Magellan Stem Cells, Melbourne, Australia).\nAutologous MSCs were isolated and expanded from the harvested adipose tissue using previously published protocols []. The processing of the lipo-aspirate was performed within the environment of a Biological Safety Cabinet (BSC) Class II using strict sterile techniques.\nStromal Vascular Fraction (SVF) obtained from the lipo-aspirate was culture purified using standard growth media containing Minimum Essential Media Eagle (MEM) supplemented with 2 mM glutamate and 10% Fetal Bovine Serum (FBS) (HyClone – GE Healthcare, USA). The cells were cultured under hypoxic conditions with 5% CO2 at 37 °C. Non-adherent cells were removed by washing with sterile phosphate buffered saline (PBS). The adherent cells were cultured until 80% confluency in freshly added growth media. The cultured purified cells were then harvested at passage 0 (P0). These cells were further plated to tissue culture flasks and expanded up to passage 2 (P2). The cells were harvested and analyzed for cell count and viability using a Muse Cell Analyzer (Merck Millipore, USA). The harvested cells were washed three times to remove FBS and cryopreserved in cryovials using clinical grade qualified MSC cryoprotectant media and following a previously validated control rate freezing technique of 1 °C/min [, ]. The cryovials were transferred to liquid nitrogen storage until use.\nAt completion of isolation and expansion, the cells underwent independent phenotypic analysis at Monash University and were characterised by flow cytometry using Florescent Activated Cell Sorting (FACS). Using standards established by the Internal Society of Cellular Therapy, the cells were assessed for the presence of positive surface markers CD 90, CD 73 and CD 105 and absence of hematopoetic surface markers CD14, CD19, CD34 and CD45 [] (Tables - and Fig. ). A further sample was sent for independent sterility testing for microbial growth.\nPrior to the intra-articular injection the cryopreserved cells were retrieved from the liquid nitrogen Dewar and thawed quickly within a sterile 37 °C water bath. The thawed cells were then washed in chilled PBS to remove cryoprotectant media, centrifuged and the resultant cell pellet re-suspended in clinical grade 0.9% normal saline. The cells were again analyzed for cell count and viability post thaw using the Muse Cell Analyzer. The cells were injected within 30 min of thawing.\nThe patient received a total of 118 million MSCs (viability 98%) suspended in 3mls of normal saline at commencement of therapy. A second injection of 50 million MSCs (viability 95%) at 6 months was also given.\nAt both injection time points the patient’s right knee was prepped using a chlorhexidine solution and draped. 2 mls of 1% lignocaine was infiltrated subcutaneously at the site of injection. Using a supero-lateral approach to the patella, and under sterile conditions and ultrasound guidance, the MSCs suspended in 3 mls of normal saline were injected into the intra-articular space.\nAfter the initial injection the patient was fitted with a medial compartment customised unloading knee brace to allow protected but full weight-bearing. This was achieved using an Ossur OA Unloader One brace (Ossur, Reykjavic, Iceland).\nThe patient was given post injection instructions, which included range of motion exercises and lower limb muscle activation exercises, and encouraged to perform repetitive low impact and low load exercises against minimal resistance on a stationary bike (continuous active motion versus continuous passive motion). This protocol was developed due to previously published evidence which has indicated the benefit of controlled load on cartilage health [].\nImportantly, recent systematic review and meta-analysis of previous clinical papers investigating the use of mesenchymal stem cell therapy – both intravascular and intra-articular applications – and including autologous, allogeneic and expanded MSC preparations has indicated that MSC therapy is safe. No adverse events including infection, death or malignancy have been recorded.\nSaw and colleagues have documented a self-limited flare up with discomfort and swelling following intra-articular MSC therapy []. This was not considered a serious adverse event.\nRelative risks of the liposuction harvest procedure include infection, bruising and post operative discomfort. Whilst the risk of infection is low, the patient received a single dose of prophylactic antibiotics prior to the procedure as part of accepted routine clinical practice [].\nProspective analysis of patient outcome to intra-articular MSC therapy included the following measures:The Knee Injury and Osteoarthritis Outcome Score (KOOS). This is a validated scoring system intended for the assessment of knee injury that may result in post-traumatic knee osteoarthritis. The score consists of 5 subscales - pain, other symptoms, function in daily living, function in sport and recreation and knee related quality of life. Standardised answers to questions are given (5 Likert scale) and each question is assigned a score of 0–4. A normalized score is calculated for each subscale (100 indicates no symptoms and 0 indicates maximum symptoms) []. The Western Ontario and McMaster Universities Arthritis Index (WOMAC Index 3.0). This score is a validated quality of life score and quantitatively assesses the pain, stiffness and physical function in patients with symptomatic osteoarthritis []. The Numeric Pain Rating Scale (NPRS). The patient rates their knee pain intensity over the previous week on a scale of 0–10. The NPRS has been validated for use in people with knee osteoarthritis [].\nOutcome scores were completed at baseline, 1, 3, 6, 12 and 18 months post commencement of MSC therapy and recorded using the software program Clinical Intelligence (Clinical Intelligence, Melbourne, Australia).\nStructural outcome was assessed using MRI imaging performed prior to commencement of therapy and again at 6 and 18 months post-treatment. Semi quantitative measures of the cartilage defect were obtained using a modified ICRS score []:Grade 0: normal cartilage Grade 1: focal blistering and intra-cartilaginous low-signal intensity area with an intact surface and bottom Grade 2: irregularities on the surface or bottom and loss of thickness of less than 50% Grade 3: deep ulceration with loss of thickness of more than 50% Grade 4: full-thickness cartilage wear with exposure of subchondral bone.\nIn addition to routine MRI protocols, the method of T2-relaxation time cartilage mapping was used. T2 mapping assesses the water content of cartilage by giving a quantifiable value to the ability of free water protons to exchange energy and move through a cartilage matrix []. Observed increased water content resulting in an increased T2 relaxation time is an indication of chondral pathology. T2 mapping has been well studied and is an accepted and validated non invasive measure of cartilage quality [].\nThe numeric pain rating score increased at 1 month from 4 to 5 reflecting an initial self-limiting flare up (see Adverse Events). Follow-up at 6 months however showed a 50% improvement in NPRS from baseline and this had further improved by 75% with a pain score of 1 at completion of follow-up at 18 months (Fig. ).\nKnee Injury and Osteoarthritis Outcome Scores consistently improved across the period of follow-up (Fig. ). At 6 months the patient’s Symptoms Score had improved by 44% and similarly his Sport and Recreational Score had improved by over 100%. These values showed continued improvement at 18 months. The measure of Quality of Life had improved at 18 months by greater than 400% above baseline.\nReflecting the observed improvement in KOOS, the WOMAC Knee Score showed similar consistent improvement from baseline till completion of data collection. At 18 months, the Global WOMAC Score had improved by over 20% (Fig. ).\nStructural follow-up using MRI at both 6 months and 18 months showed significant increase in tissue covering the extensive OCD of the medial femoral condyle. Observed development of a subchondral plate suggested a layering effect from subchondral bone through to the chondral surface. There was smooth integration with the surrounding native cartilage at the periphery of the OCD (Figs. and ). Using the modified ICRS scoring system as described above, ICRS grade improved from 4 to 1.\nT2 mapping at 6 months returned elevated values at the site of regenerative cartilage, consistent with high water content and immature cartilage (Fig. ). Further analysis at 18 months, however, indicated improved T2 values suggestive of progressive maturation of the regenerative tissue (Fig. ).\nFollowing initial MSC therapy the patient reported swelling and increased discomfort of the treated knee. The knee effusion persisted for 6 weeks. This was managed conservatively with application of ice, a compression bandage and simple analgesia. Due to this observed reaction the second injection at 6 months was reduced to 50 million MSCs (viability of 95%). The patient reported minor swelling and discomfort for 2 weeks, with no additional management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