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71-year old man was referred to our clinic for the sudden onset back pain with weakness in both legs and sensory change. The pain was located at mid thoracic area, and was positively related to motion. It started 5 days prior to the visit and the neurologic changes occurred the following day. Neurologic examination revealed grade IV motor power on both legs and hypoesthesia was present below the level of the xiphoid process. The patient was able to walk with the aid of a cane. He had been taking anti-arrhythmic medications for a year, and had no other past medical history.\nPlain radiographs and magnetic resonance imaging (MRI) taken from the other hospital revealed a T8 acute compression fracture with cord compression (). Under an impression of the T8 pathologic fracture, we ran a series of tests to find the primary origin of the spinal metastasis. All laboratory tests including tumor markers were within normal limits. Chest and abdominal computed tomography scans did not show any mass lesions in solid organs. We discussed the plan for diagnosis with oncologists. Since the patient presented with neurologic symptoms in both lower extremities, we came to an agreement that planning an early spine surgery of T8 decompression and stabilization and making the pathologic diagnosis through tumor tissue removed during the surgery would be reasonable. Further systemic work ups such as whole body positron emission tomography was planned after confirmation of the pathologic diagnosis. No steroid therapy was performed during the preoperative period.\nA spinal embolization was performed prior to the operation. As a small size of the ASA was visualized on the left T8 segmental artery angiography (), only the right T8 segmental artery was embolized. On the following day, we carried out a total laminectomy of T8 and pedicle screw fixation from T6 to T10. Tumors located at the ventral side of the dura sac were partially removed to achieve circumferential decompression of the spinal cord. For this procedure, we resected both T8 roots. The operation was uneventful. No significant changes were observed on neurophysiologic intraoperative monitoring (NIOM) throughout the operation. Immediate postoperative neurologic examination showed no change in neurologic status compared to the preoperative state.\nAround 8 hours after the operation, the patient suddenly became paraplegic. Neurologic examination revealed motor power grade 0 on both lower extremities. Pain sensation was lost below the level of the xiphoid process, but touch sense and proprioception were intact. Under a suspicion of operation site hematoma, follow-up MRI was taken immediately. However, we could not identify any lesions causing the patient's paraplegia. No notable events such as hypotension during intraoperative and postoperative period was identified. Therefore, medical treatments, including hydration and high dose steroid injection, were administered and the patient was put on overnight observation.\nThe patient did not show any neurologic improvements the next morning. We discussed this situation with the neurology and radiology departments and concluded that the neurologic features were similar to ASA syndrome. Follow-up T2-weighted sagittal and axial T-spine MRI revealed a high signal change at the anterior half of the spinal cord around the T8 level which confirmed ischemia or infarction of the anterior spinal cord (). Anticoagulation with low molecular heparin and antiplatelet medication were added. Mean arterial blood pressure was monitored and kept above 70 mmHg to maintain spinal cord perfusion pressure. However, the patient's neurologic status did not recover. One week later, the remaining touch sense and proprioception of both lower extremities had also disappeared. The spinal pathology confirmed the diagnosis of multiple myeloma. Throughout 6 months follow-up, the patient remained paraplegic without any neurologic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