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40-year-old dominant right-handed male working in private insurance company with no significant medical history suffered a distal radius fracture of the left hand due to road traffic accident (). On clinical examination, he could move the fingers of the hand and there was no evidence of any neurovascular deficit distal to the injury. Crepitus could be felt in the distal part of the radius just proximal to wrist joint and movements around the wrist were painful and limited. There were no other associated injuries, and medical history was not significant for any medical illness. A clinical diagnosis of the fracture of lower end radius was made and radiographs were consistent with the clinical diagnosis. Radiographs showed a comminuted fracture of the distal third radius with intra-articular extension for which open reduction and internal fixation through a volar FCR approach was planned. He underwent the definitive treatment of open reduction and internal fixation of the fractures distal radius under regional anesthesia. We had planned to fix the distal radius fracture using the usual FCR approach using 3.5 mm distal end radius locking plate. We could not identify the absence of the FCR tendon preoperatively because of severe swelling of the distal forearm. The incision was made at its usual location and we identified one tendon in the superficial plane which we thought was FCR, but when we traced the tendon proximally it started thinning without any muscle belly and when traced distally to its attachment, it was confirmed to be tendon of palmaris longus (PL). We could not find any tendon between PL and the traced radial artery. At that stage, we realized that FCRL was absent in that patient. We wrongly identified the PL tendon as the FCR because it was the tendinous structure at the most radial location of the volar distal forearm. When we found the median nerve just radial to the PL tendon, we were then able to identify the anatomical abnormality described in this case and immediate post-operative X-ray (-). Therefore, we changed the approach to the classic Henry’s approach after we had identified and gently protected the PCB. When we exposed and protected the radial artery through the same incision, we exposed the flexor pollicis longus (FPL), this must be retracted ulnarly, after the FPL is bluntly retracted, the pronator quadratus (PQ) is seen and incise the radial and distal borders of the PQ, elevating the muscle off the volar radius and fixed the fracture rigidly using a 3.5 mm distal end radius locking plate Nebula (stainless steel), Amritsar, Punjab, India.\nFour months after the operation, the patient had no pain or neurologic problems and complete bone union of the distal radius fracture. The patient returned to his work without any disability. We checked for the existence of an FCR tendon in the opposite forearm and could identify the thick FCR tendon by palpation.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