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22 years old female patient reported to our department with a complaint of facial disfigurement on the left side of the face which gradually progressed over the past 14 years. Progressive atrophy on the left half of the face was initially noticed at the age of 8 years as an area of hyper pigmentation on the left malar area which gradually progressed with resultant atrophy of the underlying fat and subcutaneous tissue resulting in the present disfigurement (Fig. ). However it was not associated with any other symptoms except for the limited mouth opening which the patient experienced gradually as the condition progressed. The patient had not sought any consultation earlier, for the facial disfigurement. Her medical and family history was non contributory. On general physical examination patient was conscious, oriented, a febrile, general condition was fair and vital signs were stable. Right side of the face appeared normal with marked facial asymmetry noted on left side. Head and neck examination confirmed the asymmetry with flattening, hyperpigmented, parchment like overlying skin. There was an evident loss of underlying fat, muscle and subcutaneous tissue giving a sunken in appearance. Thinning of the lips on the affected side with exposition of the teeth due to the corner of the mouth pulled to left side. Ocular examination and skin examination showed no abnormality with any evidence of lymphadenopathy. There was no evidence of sensory or motor deficits on both sides. On palpation, the skin on the affected side was rigid with signs of sclerosis. TMJ on the affected side was tender with deviation to the left on mouth opening. Intraoral examination revealed normal moist mucosa but tense oral mucosa on the affected side. Tongue on the affected side showed marked atrophy on the left side with shift in the dorsal median fissure (Fig. ). Hard tissue examination revealed crowding of the teeth with shift in midline to the affected side and obliteration of the buccal and vestibular sulcus due to tense oral tissue. Upper and lower arch showed constriction of the arch with multiple carious teeth on left side. Based on history and clinical examination a preliminary diagnosis of hemifacial atrophy of the left side of the face was made. Routine blood investigation revealed values within normal range, Patient was negative for Anti nuclear Antibodies suggestive of absence of any auto immune disease. Biopsy specimen of the affected skin lesion showed sclerodermoid tissue reaction suggestive of morphic changes. Radiographic investigation of chest, lateral lumbosacral spine, terminal phalanges of long bone showed no abnormality. Orthopantamograph [OPG] revealed significant findings of asymmetry with thinning of the body of mandible with smaller condyle and coronoid process, short roots on affected side when compared to right side. Crowding and carious tooth was also noted (Fig.). Paranasal sinus view showed hypoplasia of the frontal and maxillary sinus. Posterio- anterior view revealed asymmetry of the jaws. Computed tomography [CT] scan revealed generalized atrophy of the soft tissue of the left hemi face resulting in asymmetry on the left side with deviated nasal septum and marked hypoplasia of the frontal and maxillary sinus. Computed Tomographic scan of brain was normal.\nCorrelating all the investigation with the patient’s history and clinical examination a final diagnosis of Parry Romberg Syndrome was established. Dental and reconstructive plastic surgery using autologous fat transplant was considered as part of the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