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18-year-old American college football player presented with a vague headache since he was tackled during exercise several weeks ago. Brain computed tomography (CT) was performed at a local hospital a few days before visiting our hospital because the headache worsened and was not relieved through medication. Initial brain CT revealed a small amount of subdural hematoma on the left cerebral convexity (). Few calcified nodules were noted at the left frontotemporal cortex. However, it was initially considered a simple traumatic hemorrhage and was managed by conservative means. Several days later, the headache aggravated and the patient experienced an episode of generalized partial seizure. On the magnetic resonance imaging (MRI) performed immediately after the seizure, the size of acute hematoma and cerebral edema was markedly increased, and a small enhancing mass was observed at the left cerebral convexity (). Magnetic resonance angiography (MRA) revealed a 4 mm sized aneurysmal dilatation of the cortical branch of the MCA, which supplies the superior temporal region (). Emergency craniotomy was performed to eliminate the aneurysm and lower the elevated intracranial pressure by removing the hematoma. A large craniotomy was done, and the subdural hematoma was removed by repeated gentle irrigation and suction after small dural incision. While further opening of the dura, we were encountered by several irregularly shaped, hard subdural nodules which were tightly adhered to the dura and the underlying brain (). Upon careful dissection, these nodules were noted to be buried in the sulcus while being severely adhered to the brain cortex and the cortical arteries. Between the nodules was an organizing hematoma and upon careful removal, a pseudoaneurysm of the cortical MCA branch was exposed. The involved MCA branch was carefully dissected and was trapped by clips at the proximal and distal portion of the severely injured and adherent segment, along with the pseudoaneurysm. The aneurysm and the calcified nodules were then excised. The ischemic injury was minimized because the collateral flow retrogradely supplied the distal part of the occluded artery. The patient recovered without sequelae and was discharged after a short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