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82-year-old male presented with a large right IIA aneurysm diagnosed during routine surveillance on a long background history of complicated aortoiliac endovascular intervention. His comorbidities included chronic renal failure, hypertension, and hyperlipidaemia. He had undergone an endovascular AAA repair 9 years previously for treatment of a 5 cm infrarenal abdominal aortic aneurysm. This treatment was complicated by the subsequent development of bilateral common iliac artery aneurysms. In attempting to endovascularly repair these aneurysms 3 years after the initial surgery, a rupture of the right external iliac artery necessitated placement of a covered stent across the origin of the right internal iliac artery and into the body of the main aortic endograft. Ongoing surveillance of his aortoiliac system with duplex ultrasound demonstrated the gradual development of bilateral IIA aneurysms. A dedicated CT angiogram performed 6 years after the IIA origin was covered showing the sac having expanded to a diameter 6.4 cm. The source of expansion was thought to be a type II endoleak from collaterals originating in left iliac system. Endovascular embolisation of these vessels was attempted via a left sided femoral artery puncture, with angiography demonstrating the origin of the endoleak being the right superior gluteal artery that was being fed through a plexus of collateral channels through the body of the sacrum. It was not possible to cannulate these vessels with a microcatheter, and therefore endovascular treatment of the endoleak was not possible. The patient was offered an open procedure to manage the enlarging IIA aneurysm, which was declined due to the significant risks in light of the patient's previous abdominal interventions and poor overall health ().\nThe decision was made to treat the aneurysm via direct puncture method employing a posterior approach under CT visualisation. Under general anaesthetic and with the patient in a prone position, CT guidance was used to insert a 17-gauge needle into the right superior gluteal artery. The artery was accessed via a transgluteal approach with the catheter passing through the sciatic notch. Contrast injection in the angiography suite confirmed the catheter to be situated in the right superior gluteal artery distal to the site of the endoleak. Angiography demonstrated five branches leading from the sacral body, feeding the gluteal artery, and perfusing the aneurysmal sac. These branches were selectively cannulated with a microcatheter and embolised with a variety of Interlock (Boston Scientific, Marlborough, MA, USA), Nestor (Cook Medical, Bloomington, IN, USA), and Target embolism coils (Stryker Neurovascular, Fremont, CA, USA). Subsequent contrast injection showed only filling of the sac with no further feeding collaterals identified.\nFollowing successful embolisation of all collateral vessels, the main aneurysm sac was then injected with a liquid embolic agent, 1.5 mL of Lipidiol (Guerbet Group, Roissy, France), and 0.5 mL of Histoacryl (Tissue Seal, Ann Arbor, MN, USA). Completion angiography demonstrated no perfusion of the IIA aneurysm sac. Follow-up imaging demonstrated a stable aneurysm excluded from circulation. The patient made an uneventful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