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six year-old boy presented with a congenital anomaly of two upper limbs on the right side [Figures –]. Clinical examination revealed that the superior limb was articulating with the shoulder joint, and the inferior limb laterally attached to the chest wall. Both these limbs on the right side were hypoplastic compared to the left upper limb. The superior limb was approximately 7 cm shorter than the opposite limb (normal side), the superior limb being 33 cm in length from the shoulder joint while the inferior limb was 18 cm from the attachment with the chest wall. The skin over the forearm on the superior limb was shiny and atrophic with very little soft tissue mass compared with the inferior limb which was bulkier with normal-appearing skin. The superior limb was articulating with the torso via a normal shoulder joint. The scapula was small compared to that on the opposite side. The inferior limb was attached to the lateral thoracic wall by soft tissue at the level of the 4th intercostal space. The superior limb had a humerus, a single bone at the forearm level, and a duplicated thumb with an index finger. There was synostosis at the elbow joint and the wrist joint was stable. All fingers showed symphalyngism; the middle ray including the 3rd metacarpal was absent. The inferior limb had two fingers and a single bone with which it was attached to the chest wall. Clinically, the superior limb presented a picture of an ulnar hypoplastic hand where there was a stable wrist joint and a fused elbow joint. The inferior limb presented like a radial club hand with instability of the wrist joint. All movements were possible at the shoulder joint level but none were possible at the elbow joint and the wrist joint in the superior limb. Hand function was better in the inferior limb. The hand flexors were stronger in the inferior limb while the extensors were stronger in the superior limb. The clavicular head of the pectoralis was attached to the superior limb while the sternal head was attached to the inferior limb; the latissmus dorsi was inserted into the inferior limb.\nAn X-ray was taken of the right upper limb [], and color Doppler, and MR Angiography were done.\nThe X-ray [] revealed that the scapula on the right side was hypoplastic and the superior limb had a shoulder joint with elbow joint synostosis.\nColor Doppler study [] showed duplication of the right subclavian artery with separate origin of the inferior accessory subclavian artery. There was a patent radial artery with a inner diameter of 1.7 mm in the superior limb (radial) whereas there was a patent ulnar artery with a inner diameter of 2.0 mm in the inferior limb.\nMagnetic Resonance Angiography [] confirmed the findings of the color Doppler and the duplication of the subclavian vessels was found to arise from the infraclavicular level. The duplicated vessels running to the inferior limb were running along the lateral chest wall into the limb; the nerves also coursed along with the vessels.\nOur goal was to transfer the inferior limb to the superior forearm as a neurovascular island, and to recreate the hand without compromising the existing function and vascularity.\nAn encircling incision was made around the inferior limb, the pectoralis major and the latissmus dorsi muscle attachments were divided, and the neurovascular pedicle was dissected and mobilised up to its anomalous origin in the infraclavicular region from the subclavian vessels. The inferior limb was then transferred to the superior forearm.\nZigzag incisions were made on corresponding sides of the skin on the forearm and hand. The transverse metacarpal ligament was created and carpal bones were approximated with nonabsorbable sutures. [Figures –]\nThe postoperative period was uneventful and the existing hand functions [Figures –] were preserved. However, the abduction and external rotation at the shoulder joint was reduced because of the tautness of the transferred neurovascular pedicle and the bulk added at the forearm level.\nPhysiotherapy and re-education in terms of holding objects has been started early. The patient has been kept on regular follow-up and further staged procedures like distraction and synostosis of the elbow joint and debulking have been planned to provide a better functional and aesthetic limb. (See video 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