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11 years old male was referred to the emergency department of Virgen de las Nieves University Hospital due to a slight periodontal bleeding of 5 days of evolution. An orthopantomography was performed to focus the diagnosis. The OPG evidenced a dubious periapical image compatible with a small cyst of dental origin. Hence, the doctors of the emergency service decided to contact with the maxillofacial surgery department. A new clinical examination evidenced a spontaneous alveolar bleeding and high mobility of the first and second molars of the fourth mandibular quadrant. The patient denied cervicofacial trauma or pathologies of the coagulation system. Thus, a CT scan of the cervicofacial area was performed to reach a diagnosis. Surprisingly, this test evidenced a large high-flow intraosseous arteriovenous malformation extending from the right mandibular body to the homolateral pterygoid region and the infratemporal fossa (Fig. ). Moreover, a selective arteriography and a MRI of head and neck were also carried out to identify the limits of the malformation and the key vessel (Fig. ). Considering these findings, we contacted with the interventional radiology unit of the Hospital in order to plan a combined approach. However, after a careful analysis we decided to treat the patient only with an endovascular approach. Specifically, a very large drainage vein was identified with the radiological tests. Hence, we hypothesized that the embolization of this vein and the selective embolization of the main arterial vessels might be enough to treat the pathology. Thus, under general anesthesia and femoral approach, the embolization of the main drainage vein and of the most accessible arteries was carried out. The patient was maintained intubated and sedated for 24 hours and he was extubated when the bleeding had completely stopped. He was discharged from the hospital 7 days after the procedure. In fact, a control arteriography performed 5 day after embolization showed a significant reduction of the size of the lesion. A MRI performed three months after the procedure evidenced the complete regression of the lesion. Furthermore, in a new control 18 month after the patient has no clinical signs of recurrence (Fig. ). Hence, this approach could avoid an extremely mutilating surgery and severe psychological sequels.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