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male patient aged 62 years reported to our center with the chief complaint of dull gnawing pain and a growth in the mouth [] of 5 years duration associated with difficulty in eating and swallowing. The history revealed that the patient had met with a road traffic accident 5 years back which resulted in injuries to his upper front teeth, lower lip, and left side of the face. A few months after the injury, he noticed a small growth on the left side of the upper gums that progressively increased slowly to the present size. There was a sudden surge in growth 20 days before presentation to our department after the patient removed a tooth fragment sticking to the growth. There was a gross asymmetry of face caused by the diffuse swelling involving the lower two-third of the left side of the face. Superoinferiorly, it extended from the infraorbital region to the lower border of the mandible and the anteroposterior extent was from the midline to the left preauricular region. The mass was reddish pale, exophytic with a lobulated surface, measuring approximately 10 cm × 6 cm and was protruding from the oral cavity causing inability to close the mouth. The growth was attached to the left maxillary alveolus and palate and not fixed to the buccal mucosa or vestibular sulcus. It did not show any focus of surface ulceration, but bleeding spots were distributed randomly. The upper posterior teeth were displaced and attached to the mass on the palatal side. On palpation, the growth was firm and tender with an irregular surface and was fixed to the upper left alveolus. A computed tomography angiogram was taken to check the vascularity of the lesion which revealed no irregular feeder vessels. Further imaging showed a soft-tissue shadow with calcifications. The soft-tissue shadow measured approximately 10 cm × 6 cm in size not involving the mandible but causing destruction of maxilla in the premolar region. Routine blood investigations and serology tests were done. Since it was an abnormally extensive lesion, we approached by giving Weber Fergusson with lateral limb modification connected with intraoral vestibular degloving incision to have a complete access of the lesion []. Then, peripheral osteotomy cut was given to facilitate easy release and that the lesion was excised completely out of the maxilla. The raw area was packed with iodoform gauze. Obturator was constructed postoperatively to close the palatal fistula. During follow-up, wound shrunk and obturator was replaced with maxillary prosthesis. The mass was sent for histopathological examination []. The weight of the excised mass was approximately 230 g. The differential diagnosis given for the mass was fibroma, ossifying fibroma, peripheral giant cell granuloma, pyogenic granuloma, fibrosarcoma. The histopathological examination of the soft-tissue specimen revealed fibrous, connective tissue with numerous plump fibroblasts []. Numerous areas showed ossification in the connective tissue. Chronic inflammatory cells and blood vessels were also seen. All of which suggested the mass be a peripheral ossifying fibroma []. Postsurgical recovery was uneventful and the 6 months follow-up revealed no evidence of recurrence.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