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56-year-old female was initially admitted to the neurosurgical department because of retroorbital pain and mild visual deterioration in both eyes. The ophthalmologic examination showed a bilateral constriction of the visual field and a slight reduction in the visual acuity on the right side. A magnetic resonance of the brain and a digital subtraction angiography (DSA) disclosed a giant partially thrombosed aneurysm of the ICA on the right side (). Although there is no randomized evidence showing that the FDs are superior to the conventional treatment options, the FD option was considered for the following reasons: the paraclinoid ICA represents one of the best targets for such devices [], there were no anatomical limitations to a correct deployment, and, by inducing aneurysm shrinkage, it might have been possible to relieve the mass effect on the optic pathways []. The ophthalmic aneurysm was initially loosely coiled and then a Pipeline FD was placed in the parent artery across the aneurysm neck (). The FD was well deployed and the landing zone extended from the supraclinoid ICA to the cavernous ICA (). There was only a mild focal narrowing at the level of the distal ring where the ICA was compressed by the bulk of the aneurysms against the clinoid process (). The visual acuity deteriorated acutely on both sides despite corticosteroids. The patient was discharged home after 7 days with double antiplatelet medication (75 mg of clopidogrel and 100 mg of aspirin per day). Three months after the procedure, in concomitance with the cessation of the clopidogrel, she acutely developed a hemiparesis on the left side that lasted 48 hours. Then, she began suffering from transient ischemic attacks (TIAs). A DSA disclosed the thrombosis of the FD with occlusion of the ICA (). The patient continued suffering from multiple TIAs despite the resumption of antiplatelet medications, adequate hydration, and a thorough blood pressure monitoring to prevent hypotension. A perfusion-weighted CT scan demonstrated a significant increase in the mean transit time and a reduction in the cerebral blood flow on the right side (). The patient underwent a double-barrel extraintracranial (EC-IC) bypass with the occipital artery and the parietal branch of the superficial temporal artery as donors. Her postoperative course was uneventful and she has experienced no further TIAs. The follow-up DSA 3 months later confirmed the patency of the bypasses (Figures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