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44-year-old woman was referred to our hospital from a local clinic for decreased visual acuity in her left eye. Two hours before the manifestation of symptoms, an autologous fat injection was administered in the periocular area under intravenous anesthesia. The autologous fat was obtained from the abdominal area and the procedure was performed by a local plastic surgeon. When the effect of the anesthesia wore off, the patient reported a loss of vision in the left eye. The best corrected visual acuity was 1.0 in the right eye and no light perception on the left side. The left pupil was dilated and a relative afferent pupillary defect was detected. During physical examination, the patient suddenly complained of dysarthria and the skin color of the nose changed to purple (). The patient was immediately transferred to the emergency room and neurological examination, blood tests, and an MRI scan of the brain were performed. Within 30 minutes, the dysarthria improved significantly and the patient was able to speak normally. On examination, the right fundus appeared to be normal but the left showed a cherry red spot with visible emboli in several retinal arteries (). Fluorescein angiography of the left eye revealed markedly prolonged choroidal filling around the optic disc and a delay in retinal arterial filling while that of the right eye revealed no abnormalities (). The results of laboratory examinations were normal, however the MRI scan showed an ill-defined hyperintense lesion at the left insular cortex (). The patient was finally diagnosed with ophthalmic artery obstruction and left middle cerebral artery infarction. The patient was promptly administered ocular massage, intravenous mannitolization, and oxygen and carbon dioxide therapy. Twenty-four hours after autologous fat injection, the left fundus exhibited marked retinal edema and multiple fat emboli and the visual acuity of the left eye was no light perception (). At 2 months after the injection, the patient had no perception of light in the left eye and the left fundus showed optic atrophy, multiple retinal hemorrhages, and a fibrous change on its posterior pole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