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60-year-old female who was previously healthy with no risk factors for stroke presented with sudden onset left-sided weakness and dysphasia. National Institutes of Health Stroke Scale score on admission was 20. Brain computer tomography did not reveal any established infarct, however a computer tomography cranial angiogram showed evidence of thrombus in the proximal right middle cerebral artery (). She was treated with thrombolysis and endovascular mechanical clot removal ( and ()) with a successful outcome of recovering to a National Institutes of Health Stroke Scale score of 2 within 24 hours.\nAs a part of stroke work-up brain magnetic resonance imaging (MRI) was performed. Interestingly magnetic resonance imaging showed multiple infarcts with haemorrhages in the right middle cerebral artery territory and bilateral cerebellar hemisphere raising a possibility of an embolic source (). While reviewing the history, it became obvious that the patient had not been well for the previous four weeks prior to admission. She had a low grade pyrexia and mildly raised inflammatory markers with associated anaemia and thrombocytopenia. All the above symptoms and image findings raised the possibility of infective endocarditis.\nAn urgent echocardiogram established a mobile mass in the anterior mitral valve leaflet indicative of a vegetation which was further proven on transoesophageal echocardiography. It was a large mobile mass measuring about 11 × 4 mm and prolapsing in to the left ventricular outflow tract with mild aortic regurgitation (). She was then treated for infective endocarditis with intravenous antibiotics. Despite therapy she continued to have an intermittent fever with persistent raised inflammatory markers. However serial blood cultures and serology remained sterile. Further studies including virology, vasculitic screen (together with thrombophilia screen) and serology for atypical organisms were negative.\nHence a computer tomography of thorax, abdomen and pelvis was performed to identify an infective focus. Interestingly an underlying large pelvic mass suggestive of a right-sided ovarian tumour (9 × 9 cm) was found without any evidence of metastasis (). Imaging also revealed pulmonary, splenic and renal embolic events with evidence of infarcts. Multi systemic embolisation with poor clinical response to antibiotics raised a suspicion of non bacterial thrombotic endocarditis. Therefore low molecular weight heparin was commenced. She underwent hysterectomy with bilateral salpingo-oophorectomy and omentectomy followed by adjuvant chemotherapy. A high grade ovarian clear cell carcinoma was confirmed on histology.\nSerial repeat transthoracic and transoesophgeal echocardiography was performed to assess the size of the vegetation as a response to anticoagulation and a promising result was demonstrated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