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54-year-old female, who was found to have incidental giant left ICA aneurysm on magnetic resonance imaging (MRI) scan, during the workup for headaches (). There was no history of thunderclap headache or any associated visual or neurologic symptoms to suggest aneurysm rupture. Initial angiogram for evaluation of aneurysm, demonstrated a large left ICA para-ophthalmic aneurysm, measuring around 26×19 mm with a wide neck of 14 mm (). There was a patent anterior communicating artery with brisk cross filling of the left cerebral vasculature from the contralateral right side as well as patent left PCOM artery. Considering the complex anatomy, size of aneurysm and presence of good collaterals with patent anterior and PCOM artery, a plan was made in another hospital to treat the aneurysm with parent vessel occlusion rather than flow diverter stent. Subsequently, the aneurysm was treated in October 2016. Initially, a balloon occlusion test of the left ICA was performed which was negative for any neurological change during 20 minutes of balloon occlusion with blood pressure challenge as well. Subsequently, occlusion of the left ICA proximal to the aneurysm was performed using multiple coils (, ). There was no antegrade flow into the left ICA after occlusion with a patent flow into the left cerebral hemisphere through a patent anterior and PCOM arteries (, ). Angiogram of the left vertebral artery after occlusion of left ICA showed retrograde filling of the left ICA para-ophthalmic aneurysm (, ). This was considered to occlude overtime considering the competing antegrade intracranial flow. Patient remained asymptomatic after the treatment. Follow up angiogram after 6 months and 2 years demonstrated no antegrade flow in the left ICA, however there was persistent filling of the left ICA aneurysm in a retrograde fashion through the PCOM artery (). The aneurysm was followed up for another year and showed no evidence of occlusion with similar retrograde filling through the PCOM artery with no much change in its size. At this stage, considering the persistent filling of aneurysm, treatment was contemplated and the patient was transferred to our institution. She was successfully treated with a flow diverter stent across the PCOM artery into the distal left ICA. Patient recovered well, with no obvious neurological deficit or post-operative complications. Follow up angiogram after six months of flow diverter stent demonstrated patent flow in the PCOM artery with complete occlusion of the aneurysm with no residual filling (). presents an illustration of the final treatment construct.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