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17-year-old Malay girl was involved in a road traffic accident in which she sustained a closed right femur fracture. She was treated with intramedullary nailing of the right femur. She was well until two years after the initial trauma when she met with another road traffic accident. The patient fell off her motorcycle and was brought to our centre with severe right thigh pain. Clinically, the right thigh was deformed with no obvious open wound. There was no other associated injury and the neurovascular status was intact. A plain radiograph shown 30° varus angulation of the femoral nail in the AP view and 30° anterior angulation in the lateral view with the continuity of the nail intact (). The fracture site was noted to be not united with minimal callus formation. It was decided to remove the nail surgically. The surgery was done under regional (spinal) anaesthesia with the patient being placed in the left lateral decubitus position. A skin incision was made by a lateral approach at the fracture site under image intensifier guidance. The tissue was divided layer by layer until the fracture site and the fibrous tissue around it was cleared up.\nThe initial technique attempted was based on the principle of partially weakening the nail followed by manual straightening. The bent nail was partially resected using a jumbo cutter through the wound, then reduction was attempted using the bone holder forceps placed at the proximal and distal part of the fracture site and the strength was applied to straighten the bent nail. However, the correction failed. We then proceeded with the second technique of fully cutting the nail and then extracting it into two different pieces. The distal locking screw was removed, followed by removal of the proximal locking screw. Manual traction was applied as a distraction at the fracture site to fully visualise the apex of angulation of the bent nail. A Jumbo cutter was introduced up to the visible nail and it was sectioned by multiple bites into two parts as shown in . Continuous saline irrigation was done during the transection of the nail. The proximal part of the nail was extracted with a standard technique using extraction nail system and the distal part was extracted through the fracture site using pliers. A bone graft was done and a locking compression plate was inserted to stabilize the fractured femur. () Post-operative recuperation was uneventful and - the patient was discharged well without any complications.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