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7-year-old boy was referred to the Clinic of Pediatric Dentistry of our University. His mother reported that yellowish coloration of his teeth made him ashamed of smiling and damaged his relationship with other children. A detailed dental, medical, and social history was obtained from the patient. His mother reported that she and the other son were also affected by the same dental disease (), but their esthetic and functional rehabilitation was performed previously.\nClinical examination revealed a mixed dentition. The permanent maxillary central incisors and permanent maxillary and mandibular first molars were partially erupted. The patient exhibited poor oral hygiene with moderate to severe dental plaque accumulation and the gingival tissues around most of the permanent and primary teeth showed mild inflammation.\nThe patient presented short clinical crowns with a generalized yellow color in both primary and permanent teeth (Figures , , and ). The enamel surface was thin and rough, whereas the roots showed normal length and form. The pulp chambers were regular in size. Carious lesions were present in the primary maxillary right first and second molars and in the primary mandibular first and second molars. In the right side the occlusion was in Class I and in the left side it was cross bite. A deep overbite was observed with premature loss of vertical dimension. In a panoramic radiography, the thin enamel layer could not be distinguished from the underlying dentin ().\nThe treatment objectives were to improve the esthetics, eliminate the tooth sensitivity, prevent further loss of tooth structure, modify the child's attitude and behavior towards dental treatment, and improve his periodontal health. As part of the treatment plan, the treatment alternatives were explained to the child and his parents.\nThe initial treatment was early orthodontic treatment interceptive and minimal intervention. The primary maxillary right first and second molars were treated before orthodontic treatment (). The caries-preventive strategies consisted of oral hygiene instruction and dietary recommendation. The permanent maxillary central incisors were restored with composite resin to improve esthetics. The restoration improved the esthetic appearance of the smile contributing to the improvement of his behavior and social conviviality (Figures –). The patient presented incipient periodontal disease, and thus professional prophylaxis for dental plaque removal was carried out every three months. These recall visits were determined by patient's risk for caries/periodontal disease.\nThe Ethic Committee of our University approved saliva collection and mutational analysis. Saliva samples were collected from the patient, his parents, and brother for DNA analysis. The InstaGene Matrix (732-6030, Bio-Rad Laboratories, United States) protocol was used to isolate genomic DNA from saliva. All amelogenin protein coding exons sequences (exons 2, 3, 4, 5, 6, and exon 7) were amplified by Polymerase Chain Reaction (PCR) Kit (Taq DNA Polymerase, 11615-010, Invitrogen, Brazil).\nPCR amplification products were purified by use of the QIAquick PCR Purification Kit (28106, Qiagen, Germany). The primers and PCR conditions shown in were used to amplify the amelogenin gene.\nFollowing purification, PCR products were sequenced using the ABI BigDye Terminator v3.1 Cycle Sequence kit (4336917, Applied Biosystems, United States) and an ABI 3130xl Genetic Analyzer (Applied Biosystems, United States). All products were sequenced from both directions to minimize sequencing artifacts. Amelogenin gene mutations were confirmed by repeating the PCR amplification and sequencing.\nThe electropherograms were analyzed using the SeqScape Software (Applied Biosystems, United States). The resulting sequences of direct sequencing of amelogenin gene exons were compared with the amelogenin genomic reference sequence (NC_000023.10). The variations in these sequences were checked on dbSNPs database.\nMutational analysis was performed for the coding exons of the amelogenin gene and the c.261C&gt;T mutation was detected in samples of mother, father, and brother. This alteration is a silent mutation and a single-nucleotide polymorphism (rs2106416). However, this mutation was not found in the sequence of the patient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