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strategic-value-and-exit-scenarios"/>
    <w:p>
      <w:pPr>
        <w:pStyle w:val="Heading1"/>
      </w:pPr>
      <w:r>
        <w:t xml:space="preserve">Strategic Value and Exit Scenarios</w:t>
      </w:r>
    </w:p>
    <w:bookmarkStart w:id="23" w:name="strategic-value-of-the-involve-platform"/>
    <w:p>
      <w:pPr>
        <w:pStyle w:val="Heading2"/>
      </w:pPr>
      <w:r>
        <w:t xml:space="preserve">Strategic Value of the Involve Platform</w:t>
      </w:r>
    </w:p>
    <w:p>
      <w:pPr>
        <w:pStyle w:val="FirstParagraph"/>
      </w:pPr>
      <w:r>
        <w:t xml:space="preserve">We offer Europe’s first integrated Earth Intelligence platform, uniting multi-domain sensing, data integration, and AI-driven intelligence. By combining our high-altitude stratospheric sensors with satellite data and external sources, we provide</w:t>
      </w:r>
      <w:r>
        <w:t xml:space="preserve"> </w:t>
      </w:r>
      <w:r>
        <w:rPr>
          <w:b/>
          <w:bCs/>
        </w:rPr>
        <w:t xml:space="preserve">persistent monitoring</w:t>
      </w:r>
      <w:r>
        <w:t xml:space="preserve"> </w:t>
      </w:r>
      <w:r>
        <w:t xml:space="preserve">of priority sites. Our vertically integrated approach – designing sensing infrastructure and processing its output end-to-end – delivers a “data flywheel” advantage: each observation feeds our AI platform (CLEAR) to yield actionable answers. In effect, customers get not just images but context, alerts and decision intelligence. This mirrors industry trends: for example, Satellogic’s recent</w:t>
      </w:r>
      <w:r>
        <w:t xml:space="preserve"> </w:t>
      </w:r>
      <w:r>
        <w:rPr>
          <w:i/>
          <w:iCs/>
        </w:rPr>
        <w:t xml:space="preserve">Aleph Observer</w:t>
      </w:r>
      <w:r>
        <w:t xml:space="preserve"> </w:t>
      </w:r>
      <w:r>
        <w:t xml:space="preserve">launch emphasizes how a vertically integrated constellation enables continuous coverage and alerts, replacing ad-hoc tasking</w:t>
      </w:r>
      <w:hyperlink r:id="rId21">
        <w:r>
          <w:rPr>
            <w:rStyle w:val="Hyperlink"/>
          </w:rPr>
          <w:t xml:space="preserve">[1]</w:t>
        </w:r>
      </w:hyperlink>
      <w:hyperlink r:id="rId22">
        <w:r>
          <w:rPr>
            <w:rStyle w:val="Hyperlink"/>
          </w:rPr>
          <w:t xml:space="preserve">[2]</w:t>
        </w:r>
      </w:hyperlink>
      <w:r>
        <w:t xml:space="preserve">. Similarly, we control both the sensor layer and the analytics layer, leading to predictable coverage and low unit costs. Over time, these synergies create a virtuous cycle: more data drives better AI insights, which in turn spur new sensing requirements and customers. This vertical integration makes our platform strategically valuable beyond any single component.</w:t>
      </w:r>
    </w:p>
    <w:bookmarkEnd w:id="23"/>
    <w:bookmarkStart w:id="29" w:name="Xce1558218df81f49ca6d16d68d0c145e84401b0"/>
    <w:p>
      <w:pPr>
        <w:pStyle w:val="Heading2"/>
      </w:pPr>
      <w:r>
        <w:t xml:space="preserve">Market Dynamics Supporting Long-Term Value</w:t>
      </w:r>
    </w:p>
    <w:p>
      <w:pPr>
        <w:pStyle w:val="FirstParagraph"/>
      </w:pPr>
      <w:r>
        <w:t xml:space="preserve">Earth Intelligence is rapidly becoming strategic infrastructure. Growth drivers include rising defense ISR budgets, climate/environmental monitoring mandates, and expanded critical-infrastructure oversight. Governments and enterprises increasingly rely on satellite and airborne data for real-time situational awareness (Fortune Business Insights projects the Earth-observation market to grow from ~$7.7 billion in 2026 to ~$14.6 billion by 2034</w:t>
      </w:r>
      <w:hyperlink r:id="rId24">
        <w:r>
          <w:rPr>
            <w:rStyle w:val="Hyperlink"/>
          </w:rPr>
          <w:t xml:space="preserve">[3]</w:t>
        </w:r>
      </w:hyperlink>
      <w:r>
        <w:t xml:space="preserve">). Notably, defense and security needs are a major driver: satellites and sensors are now mission-critical in modern conflicts</w:t>
      </w:r>
      <w:hyperlink r:id="rId25">
        <w:r>
          <w:rPr>
            <w:rStyle w:val="Hyperlink"/>
          </w:rPr>
          <w:t xml:space="preserve">[4]</w:t>
        </w:r>
      </w:hyperlink>
      <w:hyperlink r:id="rId26">
        <w:r>
          <w:rPr>
            <w:rStyle w:val="Hyperlink"/>
          </w:rPr>
          <w:t xml:space="preserve">[5]</w:t>
        </w:r>
      </w:hyperlink>
      <w:r>
        <w:t xml:space="preserve">. At the same time, global initiatives (EU Green Deal, climate agreements) and ESG reporting are driving demand for continuous environmental monitoring. These dynamics underpin our vision: agencies and enterprises will pay for persistent, AI-powered insights rather than one-off images. Market research confirms an industry-wide shift</w:t>
      </w:r>
      <w:r>
        <w:t xml:space="preserve"> </w:t>
      </w:r>
      <w:r>
        <w:rPr>
          <w:i/>
          <w:iCs/>
        </w:rPr>
        <w:t xml:space="preserve">“from periodic imaging to continuous, AI-driven monitoring”</w:t>
      </w:r>
      <w:r>
        <w:t xml:space="preserve">, with multi-sensor data fusion and cloud-based intelligence becoming standard</w:t>
      </w:r>
      <w:hyperlink r:id="rId27">
        <w:r>
          <w:rPr>
            <w:rStyle w:val="Hyperlink"/>
          </w:rPr>
          <w:t xml:space="preserve">[6]</w:t>
        </w:r>
      </w:hyperlink>
      <w:hyperlink r:id="rId28">
        <w:r>
          <w:rPr>
            <w:rStyle w:val="Hyperlink"/>
          </w:rPr>
          <w:t xml:space="preserve">[7]</w:t>
        </w:r>
      </w:hyperlink>
      <w:r>
        <w:t xml:space="preserve">. In other words, the underlying market supports a premium on platforms that deliver live, contextual answers – exactly the value we provide.</w:t>
      </w:r>
    </w:p>
    <w:bookmarkEnd w:id="29"/>
    <w:bookmarkStart w:id="33" w:name="strategic-optionality-and-platform-value"/>
    <w:p>
      <w:pPr>
        <w:pStyle w:val="Heading2"/>
      </w:pPr>
      <w:r>
        <w:t xml:space="preserve">Strategic Optionality and Platform Value</w:t>
      </w:r>
    </w:p>
    <w:p>
      <w:pPr>
        <w:pStyle w:val="FirstParagraph"/>
      </w:pPr>
      <w:r>
        <w:t xml:space="preserve">Involve’s positioning creates multiple strategic pathways. We can evolve into Europe’s essential Earth-intelligence backbone or a vertically integrated aerospace-analytics company. Europe’s current geospatial-intelligence capabilities are fragmented across national and commercial systems</w:t>
      </w:r>
      <w:hyperlink r:id="rId30">
        <w:r>
          <w:rPr>
            <w:rStyle w:val="Hyperlink"/>
          </w:rPr>
          <w:t xml:space="preserve">[8]</w:t>
        </w:r>
      </w:hyperlink>
      <w:hyperlink r:id="rId31">
        <w:r>
          <w:rPr>
            <w:rStyle w:val="Hyperlink"/>
          </w:rPr>
          <w:t xml:space="preserve">[9]</w:t>
        </w:r>
      </w:hyperlink>
      <w:r>
        <w:t xml:space="preserve">; Involve can unify them under a coherent platform. Our civil–defence dual focus gives us optionality. For defense, we already see demand (e.g. national security monitoring); for civil markets, persistent intelligence adds value in energy, infrastructure and climate sectors. Moreover, our approach aligns with European strategic goals. EU space policy explicitly calls for autonomy and dual-use services, including a new governmental EO system to complement Copernicus</w:t>
      </w:r>
      <w:hyperlink r:id="rId31">
        <w:r>
          <w:rPr>
            <w:rStyle w:val="Hyperlink"/>
          </w:rPr>
          <w:t xml:space="preserve">[10]</w:t>
        </w:r>
      </w:hyperlink>
      <w:hyperlink r:id="rId32">
        <w:r>
          <w:rPr>
            <w:rStyle w:val="Hyperlink"/>
          </w:rPr>
          <w:t xml:space="preserve">[11]</w:t>
        </w:r>
      </w:hyperlink>
      <w:r>
        <w:t xml:space="preserve">. By building an EU-centric Earth Intelligence platform, we position ourselves as a strategic asset – effectively contributing to Europe’s tech sovereignty and defense requirements. This strategic optionality is validated by programs like the European Innovation Council (EIC) and national R&amp;D funds, which are funding companies that can bridge civil and defense space needs. In practice, our platform could serve as the trusted data layer for EU intelligence programs, European defense initiatives, or pan-European infrastructure oversight. In short, investors are buying into a company that not only addresses a growing global need for geospatial intelligence, but also fits squarely within Europe’s push for an integrated, autonomous space-based monitoring capability</w:t>
      </w:r>
      <w:hyperlink r:id="rId25">
        <w:r>
          <w:rPr>
            <w:rStyle w:val="Hyperlink"/>
          </w:rPr>
          <w:t xml:space="preserve">[4]</w:t>
        </w:r>
      </w:hyperlink>
      <w:hyperlink r:id="rId31">
        <w:r>
          <w:rPr>
            <w:rStyle w:val="Hyperlink"/>
          </w:rPr>
          <w:t xml:space="preserve">[10]</w:t>
        </w:r>
      </w:hyperlink>
      <w:r>
        <w:t xml:space="preserve">.</w:t>
      </w:r>
    </w:p>
    <w:bookmarkEnd w:id="33"/>
    <w:bookmarkStart w:id="35" w:name="series-a-investment-structure"/>
    <w:p>
      <w:pPr>
        <w:pStyle w:val="Heading2"/>
      </w:pPr>
      <w:r>
        <w:t xml:space="preserve">Series A Investment Structure</w:t>
      </w:r>
    </w:p>
    <w:p>
      <w:pPr>
        <w:pStyle w:val="FirstParagraph"/>
      </w:pPr>
      <w:r>
        <w:t xml:space="preserve">We are raising</w:t>
      </w:r>
      <w:r>
        <w:t xml:space="preserve"> </w:t>
      </w:r>
      <w:r>
        <w:rPr>
          <w:b/>
          <w:bCs/>
        </w:rPr>
        <w:t xml:space="preserve">€15M equity at a €60M pre-money</w:t>
      </w:r>
      <w:r>
        <w:t xml:space="preserve"> </w:t>
      </w:r>
      <w:r>
        <w:t xml:space="preserve">(valuation) to reach a €75M post-money. Notably, European public funding greatly amplifies this round. The EIC Fund has committed €10M of equity (spilt €5–6M now and €4–5M in a later round), and we have €2.5M in non-dilutive EIC Accelerator grant. Together with an expected €10M regional grant (PIA/PNRR), total 2026 funding reaches up to</w:t>
      </w:r>
      <w:r>
        <w:t xml:space="preserve"> </w:t>
      </w:r>
      <w:r>
        <w:rPr>
          <w:b/>
          <w:bCs/>
        </w:rPr>
        <w:t xml:space="preserve">€27.5–32.5M</w:t>
      </w:r>
      <w:r>
        <w:t xml:space="preserve"> </w:t>
      </w:r>
      <w:r>
        <w:t xml:space="preserve">(public + private). In practical terms, every €1 of private equity we take on brings ~€1–1.5 of grant capital, dramatically improving capital efficiency. (Indeed, the EIC Fund itself notes it mobilizes at least €3.5 of private investment for every €1 of its capital</w:t>
      </w:r>
      <w:hyperlink r:id="rId34">
        <w:r>
          <w:rPr>
            <w:rStyle w:val="Hyperlink"/>
          </w:rPr>
          <w:t xml:space="preserve">[12]</w:t>
        </w:r>
      </w:hyperlink>
      <w:r>
        <w:t xml:space="preserve">.) In short,</w:t>
      </w:r>
      <w:r>
        <w:t xml:space="preserve"> </w:t>
      </w:r>
      <w:r>
        <w:rPr>
          <w:b/>
          <w:bCs/>
        </w:rPr>
        <w:t xml:space="preserve">€15M of equity unlocks ~€30M of total R&amp;D/GTM budget</w:t>
      </w:r>
      <w:r>
        <w:t xml:space="preserve">. This leverage reduces dilution: with €75M post-money and €15M in new shares, new investors receive 20% of equity. A €6M lead investment would thus translate to ~8% ownership initially (6/75). With follow-on funding, this might dilute to roughly 5–7% by exit. The key message is that public funding de-risks our development and effectively “pre-funds” a large part of our roadmap, making each private euro go further. It also signals validation: European institutions investing in our technology is a strong endorsement. In investor terms, the mix of public grants and EIC equity</w:t>
      </w:r>
      <w:r>
        <w:t xml:space="preserve"> </w:t>
      </w:r>
      <w:r>
        <w:rPr>
          <w:i/>
          <w:iCs/>
        </w:rPr>
        <w:t xml:space="preserve">“extends runway, reduces risk, and demonstrates traction”</w:t>
      </w:r>
      <w:r>
        <w:t xml:space="preserve"> </w:t>
      </w:r>
      <w:r>
        <w:t xml:space="preserve">(experienced VCs often welcome such co-investment).</w:t>
      </w:r>
    </w:p>
    <w:bookmarkEnd w:id="35"/>
    <w:bookmarkStart w:id="38" w:name="company-valuation-growth-scenarios"/>
    <w:p>
      <w:pPr>
        <w:pStyle w:val="Heading2"/>
      </w:pPr>
      <w:r>
        <w:t xml:space="preserve">Company Valuation Growth Scenarios</w:t>
      </w:r>
    </w:p>
    <w:p>
      <w:pPr>
        <w:pStyle w:val="FirstParagraph"/>
      </w:pPr>
      <w:r>
        <w:t xml:space="preserve">We model three scenarios to illustrate how Involve’s value could grow. In all cases the Series A entry is €75M post-money (2026).</w:t>
      </w:r>
    </w:p>
    <w:p>
      <w:pPr>
        <w:pStyle w:val="Compact"/>
        <w:numPr>
          <w:ilvl w:val="0"/>
          <w:numId w:val="1001"/>
        </w:numPr>
      </w:pPr>
      <w:r>
        <w:rPr>
          <w:b/>
          <w:bCs/>
        </w:rPr>
        <w:t xml:space="preserve">Conservative:</w:t>
      </w:r>
      <w:r>
        <w:t xml:space="preserve"> </w:t>
      </w:r>
      <w:r>
        <w:t xml:space="preserve">This assumes moderate growth and modest multiples. By 2030 we target ~€300–500M valuation (e.g. ~5–10× 2026 post-money) and ~€0.5–1B by 2035. (For context, small-cap peers like BlackSky currently trade around ~€700M on ~€90M revenue</w:t>
      </w:r>
      <w:hyperlink r:id="rId36">
        <w:r>
          <w:rPr>
            <w:rStyle w:val="Hyperlink"/>
          </w:rPr>
          <w:t xml:space="preserve">[13]</w:t>
        </w:r>
      </w:hyperlink>
      <w:r>
        <w:t xml:space="preserve">, implying high single-digit multiples.)</w:t>
      </w:r>
    </w:p>
    <w:p>
      <w:pPr>
        <w:pStyle w:val="Compact"/>
        <w:numPr>
          <w:ilvl w:val="0"/>
          <w:numId w:val="1001"/>
        </w:numPr>
      </w:pPr>
      <w:r>
        <w:rPr>
          <w:b/>
          <w:bCs/>
        </w:rPr>
        <w:t xml:space="preserve">Base Case:</w:t>
      </w:r>
      <w:r>
        <w:t xml:space="preserve"> </w:t>
      </w:r>
      <w:r>
        <w:t xml:space="preserve">Strong market adoption and execution lead to €1B+ by early 2030s. For example, if we grow persistently with repeat contracts, our valuation could exceed €1B by ~2030 and continue to mid-multi-billion by 2035. This is roughly in line with Planet Labs reaching ~$8.8B market cap on ~$0.28B revenue</w:t>
      </w:r>
      <w:hyperlink r:id="rId37">
        <w:r>
          <w:rPr>
            <w:rStyle w:val="Hyperlink"/>
          </w:rPr>
          <w:t xml:space="preserve">[14]</w:t>
        </w:r>
      </w:hyperlink>
      <w:r>
        <w:t xml:space="preserve">.</w:t>
      </w:r>
    </w:p>
    <w:p>
      <w:pPr>
        <w:pStyle w:val="Compact"/>
        <w:numPr>
          <w:ilvl w:val="0"/>
          <w:numId w:val="1001"/>
        </w:numPr>
      </w:pPr>
      <w:r>
        <w:rPr>
          <w:b/>
          <w:bCs/>
        </w:rPr>
        <w:t xml:space="preserve">High Growth:</w:t>
      </w:r>
      <w:r>
        <w:t xml:space="preserve"> </w:t>
      </w:r>
      <w:r>
        <w:t xml:space="preserve">Assuming rapid scale and higher multiples (like the largest platform plays), we could see a €3–5B valuation by 2035. (Again, Planet’s ~30× revenue multiple and other space SaaS valuations suggest this is within the realm of possibility for a leading EO/AI player.)</w:t>
      </w:r>
    </w:p>
    <w:p>
      <w:pPr>
        <w:pStyle w:val="FirstParagraph"/>
      </w:pPr>
      <w:r>
        <w:t xml:space="preserve">These scenarios are anchored to industry benchmarks. Publicly traded analogues range widely: e.g. Planet Labs (~$8.8B market cap on $0.28B revenue</w:t>
      </w:r>
      <w:hyperlink r:id="rId37">
        <w:r>
          <w:rPr>
            <w:rStyle w:val="Hyperlink"/>
          </w:rPr>
          <w:t xml:space="preserve">[14]</w:t>
        </w:r>
      </w:hyperlink>
      <w:r>
        <w:t xml:space="preserve">) and BlackSky (~€0.7B on €0.09B rev</w:t>
      </w:r>
      <w:hyperlink r:id="rId36">
        <w:r>
          <w:rPr>
            <w:rStyle w:val="Hyperlink"/>
          </w:rPr>
          <w:t xml:space="preserve">[13]</w:t>
        </w:r>
      </w:hyperlink>
      <w:r>
        <w:t xml:space="preserve">) today. The implied valuation multiples for our business would likely fall between these extremes as we mature. In all cases, the market trajectory (8–12% annual EO growth</w:t>
      </w:r>
      <w:hyperlink r:id="rId24">
        <w:r>
          <w:rPr>
            <w:rStyle w:val="Hyperlink"/>
          </w:rPr>
          <w:t xml:space="preserve">[3]</w:t>
        </w:r>
      </w:hyperlink>
      <w:r>
        <w:t xml:space="preserve">, rising defense budgets, AI-driven premium) supports robust expansion of our TAM.</w:t>
      </w:r>
    </w:p>
    <w:bookmarkEnd w:id="38"/>
    <w:bookmarkStart w:id="40" w:name="investor-roi-simulation"/>
    <w:p>
      <w:pPr>
        <w:pStyle w:val="Heading2"/>
      </w:pPr>
      <w:r>
        <w:t xml:space="preserve">Investor ROI Simulation</w:t>
      </w:r>
    </w:p>
    <w:p>
      <w:pPr>
        <w:pStyle w:val="FirstParagraph"/>
      </w:pPr>
      <w:r>
        <w:t xml:space="preserve">To illustrate potential returns, consider a Series A investor. A €6M investment at a €60M pre-money yields ~8% ownership. Depending on dilution (we model modest follow-on rounds), that stake might end up ~5–7% at exit. We then examine exit valuations:</w:t>
      </w:r>
    </w:p>
    <w:p>
      <w:pPr>
        <w:pStyle w:val="Compact"/>
        <w:numPr>
          <w:ilvl w:val="0"/>
          <w:numId w:val="1002"/>
        </w:numPr>
      </w:pPr>
      <w:r>
        <w:t xml:space="preserve">At a</w:t>
      </w:r>
      <w:r>
        <w:t xml:space="preserve"> </w:t>
      </w:r>
      <w:r>
        <w:rPr>
          <w:b/>
          <w:bCs/>
        </w:rPr>
        <w:t xml:space="preserve">€375M exit</w:t>
      </w:r>
      <w:r>
        <w:t xml:space="preserve"> </w:t>
      </w:r>
      <w:r>
        <w:t xml:space="preserve">(≈5× our Series A entry valuation), a 6% stake returns ~€22.5M (≈3.8×).</w:t>
      </w:r>
    </w:p>
    <w:p>
      <w:pPr>
        <w:pStyle w:val="Compact"/>
        <w:numPr>
          <w:ilvl w:val="0"/>
          <w:numId w:val="1002"/>
        </w:numPr>
      </w:pPr>
      <w:r>
        <w:t xml:space="preserve">At a</w:t>
      </w:r>
      <w:r>
        <w:t xml:space="preserve"> </w:t>
      </w:r>
      <w:r>
        <w:rPr>
          <w:b/>
          <w:bCs/>
        </w:rPr>
        <w:t xml:space="preserve">€750M exit</w:t>
      </w:r>
      <w:r>
        <w:t xml:space="preserve"> </w:t>
      </w:r>
      <w:r>
        <w:t xml:space="preserve">(10× entry), the stake is worth ~€50M (≈8.3×).</w:t>
      </w:r>
    </w:p>
    <w:p>
      <w:pPr>
        <w:pStyle w:val="Compact"/>
        <w:numPr>
          <w:ilvl w:val="0"/>
          <w:numId w:val="1002"/>
        </w:numPr>
      </w:pPr>
      <w:r>
        <w:t xml:space="preserve">At a</w:t>
      </w:r>
      <w:r>
        <w:t xml:space="preserve"> </w:t>
      </w:r>
      <w:r>
        <w:rPr>
          <w:b/>
          <w:bCs/>
        </w:rPr>
        <w:t xml:space="preserve">€1.5B exit</w:t>
      </w:r>
      <w:r>
        <w:t xml:space="preserve"> </w:t>
      </w:r>
      <w:r>
        <w:t xml:space="preserve">(20× entry), the stake would be ~€120M (≈20×).</w:t>
      </w:r>
    </w:p>
    <w:p>
      <w:pPr>
        <w:pStyle w:val="FirstParagraph"/>
      </w:pPr>
      <w:r>
        <w:t xml:space="preserve">In other words, returns in the range of 5×–20× (or more) are plausible if our valuation milestones are met. These multiples align with market comparables: for instance, a 10× revenue multiple is already on the low side for a high-growth space data/AI platform (Planet’s 30×, Spire’s ~4×</w:t>
      </w:r>
      <w:hyperlink r:id="rId37">
        <w:r>
          <w:rPr>
            <w:rStyle w:val="Hyperlink"/>
          </w:rPr>
          <w:t xml:space="preserve">[14]</w:t>
        </w:r>
      </w:hyperlink>
      <w:hyperlink r:id="rId39">
        <w:r>
          <w:rPr>
            <w:rStyle w:val="Hyperlink"/>
          </w:rPr>
          <w:t xml:space="preserve">[15]</w:t>
        </w:r>
      </w:hyperlink>
      <w:r>
        <w:t xml:space="preserve">). Conservative exit values (~€300–500M) would yield solid mid-single-digit multiples; base/high-case exits yield double-digit multiples. This analysis shows that a relatively small stake from our round can translate into significant absolute payoff if Involve achieves a leadership position.</w:t>
      </w:r>
    </w:p>
    <w:bookmarkEnd w:id="40"/>
    <w:bookmarkStart w:id="45" w:name="potential-exit-paths"/>
    <w:p>
      <w:pPr>
        <w:pStyle w:val="Heading2"/>
      </w:pPr>
      <w:r>
        <w:t xml:space="preserve">Potential Exit Paths</w:t>
      </w:r>
    </w:p>
    <w:p>
      <w:pPr>
        <w:pStyle w:val="FirstParagraph"/>
      </w:pPr>
      <w:r>
        <w:t xml:space="preserve">We see multiple viable liquidity paths consistent with industry trends</w:t>
      </w:r>
      <w:hyperlink r:id="rId41">
        <w:r>
          <w:rPr>
            <w:rStyle w:val="Hyperlink"/>
          </w:rPr>
          <w:t xml:space="preserve">[16]</w:t>
        </w:r>
      </w:hyperlink>
      <w:hyperlink r:id="rId42">
        <w:r>
          <w:rPr>
            <w:rStyle w:val="Hyperlink"/>
          </w:rPr>
          <w:t xml:space="preserve">[17]</w:t>
        </w:r>
      </w:hyperlink>
      <w:r>
        <w:t xml:space="preserve">. Strategic acquisitions are likely: major aerospace and defense companies may acquire Involve to internalize Earth intelligence. Defense conglomerates routinely divest assets to fund new tech, while also using tuck-in acquisitions to stay ahead</w:t>
      </w:r>
      <w:hyperlink r:id="rId41">
        <w:r>
          <w:rPr>
            <w:rStyle w:val="Hyperlink"/>
          </w:rPr>
          <w:t xml:space="preserve">[18]</w:t>
        </w:r>
      </w:hyperlink>
      <w:hyperlink r:id="rId42">
        <w:r>
          <w:rPr>
            <w:rStyle w:val="Hyperlink"/>
          </w:rPr>
          <w:t xml:space="preserve">[17]</w:t>
        </w:r>
      </w:hyperlink>
      <w:r>
        <w:t xml:space="preserve">. Our capabilities could complement those of Airbus D&amp;S, Thales or Leonardo (enhancing their space/EO offerings) or of U.S. primes like Lockheed Martin and Northrop Grumman (who increasingly partner in AI and space domains</w:t>
      </w:r>
      <w:hyperlink r:id="rId43">
        <w:r>
          <w:rPr>
            <w:rStyle w:val="Hyperlink"/>
          </w:rPr>
          <w:t xml:space="preserve">[19]</w:t>
        </w:r>
      </w:hyperlink>
      <w:hyperlink r:id="rId42">
        <w:r>
          <w:rPr>
            <w:rStyle w:val="Hyperlink"/>
          </w:rPr>
          <w:t xml:space="preserve">[17]</w:t>
        </w:r>
      </w:hyperlink>
      <w:r>
        <w:t xml:space="preserve">). Data/platform buyers are also plausible: for example, Palantir’s investment in BlackSky highlights strategic interest in geospatial AI</w:t>
      </w:r>
      <w:hyperlink r:id="rId44">
        <w:r>
          <w:rPr>
            <w:rStyle w:val="Hyperlink"/>
          </w:rPr>
          <w:t xml:space="preserve">[20]</w:t>
        </w:r>
      </w:hyperlink>
      <w:r>
        <w:t xml:space="preserve">. In this vein, tech leaders or even internet/cloud companies might seek to integrate our GeoAI stack. Finally, an IPO remains a clear exit route. As defense-tech market research notes,</w:t>
      </w:r>
      <w:r>
        <w:t xml:space="preserve"> </w:t>
      </w:r>
      <w:r>
        <w:rPr>
          <w:b/>
          <w:bCs/>
        </w:rPr>
        <w:t xml:space="preserve">spin-offs and IPOs are reopening in A&amp;D</w:t>
      </w:r>
      <w:r>
        <w:t xml:space="preserve">, especially for firms with predictable, high-margin revenues</w:t>
      </w:r>
      <w:hyperlink r:id="rId41">
        <w:r>
          <w:rPr>
            <w:rStyle w:val="Hyperlink"/>
          </w:rPr>
          <w:t xml:space="preserve">[16]</w:t>
        </w:r>
      </w:hyperlink>
      <w:hyperlink r:id="rId42">
        <w:r>
          <w:rPr>
            <w:rStyle w:val="Hyperlink"/>
          </w:rPr>
          <w:t xml:space="preserve">[17]</w:t>
        </w:r>
      </w:hyperlink>
      <w:r>
        <w:t xml:space="preserve">. If we meet our scale and recurring-revenue targets (see next section), a public listing by late 2030s could be viable.</w:t>
      </w:r>
    </w:p>
    <w:bookmarkEnd w:id="45"/>
    <w:bookmarkStart w:id="47" w:name="strategic-buyers"/>
    <w:p>
      <w:pPr>
        <w:pStyle w:val="Heading2"/>
      </w:pPr>
      <w:r>
        <w:t xml:space="preserve">Strategic Buyers</w:t>
      </w:r>
    </w:p>
    <w:p>
      <w:pPr>
        <w:pStyle w:val="FirstParagraph"/>
      </w:pPr>
      <w:r>
        <w:t xml:space="preserve">Potential acquirers span several categories. Large aerospace/defense primes (Airbus, Thales, Leonardo, Lockheed, Northrop, etc.) could buy us to enhance their surveillance and intelligence offerings, aligning with EU and NATO priorities. Dedicated space-data companies (Maxar, Planet Labs, Satellogic) might consolidate smaller players to build end-to-end solutions. Advanced analytics firms (Palantir, perhaps even major cloud/AI players) could seek to embed our GeoAI platform into broader government or commercial suites. Even non-traditional buyers (e.g. infrastructure or energy conglomerates) may invest strategically to secure persistent monitoring of critical assets. In all cases, the rationale is clear: acquiring Involve would give them a turnkey persistent-Earth intelligence capability. Industry reports list Airbus, Maxar, Planet, ICEYE, BlackSky, Spire, Satellogic, Thales, etc. as leading players</w:t>
      </w:r>
      <w:hyperlink r:id="rId46">
        <w:r>
          <w:rPr>
            <w:rStyle w:val="Hyperlink"/>
          </w:rPr>
          <w:t xml:space="preserve">[21]</w:t>
        </w:r>
      </w:hyperlink>
      <w:r>
        <w:t xml:space="preserve">, many of whom are actively expanding their offerings.</w:t>
      </w:r>
    </w:p>
    <w:bookmarkEnd w:id="47"/>
    <w:bookmarkStart w:id="48" w:name="ipo-pathway"/>
    <w:p>
      <w:pPr>
        <w:pStyle w:val="Heading2"/>
      </w:pPr>
      <w:r>
        <w:t xml:space="preserve">IPO Pathway</w:t>
      </w:r>
    </w:p>
    <w:p>
      <w:pPr>
        <w:pStyle w:val="FirstParagraph"/>
      </w:pPr>
      <w:r>
        <w:t xml:space="preserve">An IPO is feasible toward the end of the decade, once we achieve scale and financial maturity. Key prerequisites would be a</w:t>
      </w:r>
      <w:r>
        <w:t xml:space="preserve"> </w:t>
      </w:r>
      <w:r>
        <w:rPr>
          <w:b/>
          <w:bCs/>
        </w:rPr>
        <w:t xml:space="preserve">fleet of sensors</w:t>
      </w:r>
      <w:r>
        <w:t xml:space="preserve">, high-margin recurring software revenue, and a diversified global customer base (as seen in successful space-tech IPOs). PwC notes that defense-tech firms with “predictable revenue and program traction” and</w:t>
      </w:r>
      <w:r>
        <w:t xml:space="preserve"> </w:t>
      </w:r>
      <w:r>
        <w:rPr>
          <w:i/>
          <w:iCs/>
        </w:rPr>
        <w:t xml:space="preserve">“pure-play” models are prime IPO candidates</w:t>
      </w:r>
      <w:hyperlink r:id="rId42">
        <w:r>
          <w:rPr>
            <w:rStyle w:val="Hyperlink"/>
            <w:i/>
            <w:iCs/>
          </w:rPr>
          <w:t xml:space="preserve">[17]</w:t>
        </w:r>
      </w:hyperlink>
      <w:r>
        <w:t xml:space="preserve">. We aim to build exactly that profile: subscription-based analytics and mission contracts with stable government customers provide visibility into future revenues. If we achieve several years of steady growth, an IPO (or SPAC) could unlock the public-market premium for space/AI companies. Importantly, rising defense budgets and strategic interest in dual-use technologies make the funding environment favorable for such exits</w:t>
      </w:r>
      <w:hyperlink r:id="rId41">
        <w:r>
          <w:rPr>
            <w:rStyle w:val="Hyperlink"/>
          </w:rPr>
          <w:t xml:space="preserve">[16]</w:t>
        </w:r>
      </w:hyperlink>
      <w:r>
        <w:t xml:space="preserve">. Nonetheless, our focus remains on execution and value creation – but we believe an IPO is a credible path, not merely a hope, by the early 2030s if we lead Europe’s Earth Intelligence market.</w:t>
      </w:r>
    </w:p>
    <w:bookmarkEnd w:id="48"/>
    <w:bookmarkStart w:id="50" w:name="references"/>
    <w:p>
      <w:pPr>
        <w:pStyle w:val="Heading2"/>
      </w:pPr>
      <w:r>
        <w:t xml:space="preserve">References</w:t>
      </w:r>
    </w:p>
    <w:p>
      <w:pPr>
        <w:pStyle w:val="Compact"/>
        <w:numPr>
          <w:ilvl w:val="0"/>
          <w:numId w:val="1003"/>
        </w:numPr>
      </w:pPr>
      <w:r>
        <w:t xml:space="preserve">Fortune Business Insights (2026),</w:t>
      </w:r>
      <w:r>
        <w:t xml:space="preserve"> </w:t>
      </w:r>
      <w:r>
        <w:rPr>
          <w:i/>
          <w:iCs/>
        </w:rPr>
        <w:t xml:space="preserve">Earth Observation Market</w:t>
      </w:r>
      <w:hyperlink r:id="rId24">
        <w:r>
          <w:rPr>
            <w:rStyle w:val="Hyperlink"/>
          </w:rPr>
          <w:t xml:space="preserve">[3]</w:t>
        </w:r>
      </w:hyperlink>
      <w:hyperlink r:id="rId27">
        <w:r>
          <w:rPr>
            <w:rStyle w:val="Hyperlink"/>
          </w:rPr>
          <w:t xml:space="preserve">[6]</w:t>
        </w:r>
      </w:hyperlink>
      <w:r>
        <w:t xml:space="preserve">.</w:t>
      </w:r>
    </w:p>
    <w:p>
      <w:pPr>
        <w:pStyle w:val="Compact"/>
        <w:numPr>
          <w:ilvl w:val="0"/>
          <w:numId w:val="1003"/>
        </w:numPr>
      </w:pPr>
      <w:r>
        <w:t xml:space="preserve">Satellogic Press Release (Feb 2026) – Aleph Observer persistent monitoring</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3"/>
        </w:numPr>
      </w:pPr>
      <w:r>
        <w:t xml:space="preserve">IRIS/ARES Report (Jan 2026) –</w:t>
      </w:r>
      <w:r>
        <w:t xml:space="preserve"> </w:t>
      </w:r>
      <w:r>
        <w:rPr>
          <w:i/>
          <w:iCs/>
        </w:rPr>
        <w:t xml:space="preserve">Building a European Geospatial Intelligence Capability</w:t>
      </w:r>
      <w:hyperlink r:id="rId25">
        <w:r>
          <w:rPr>
            <w:rStyle w:val="Hyperlink"/>
          </w:rPr>
          <w:t xml:space="preserve">[4]</w:t>
        </w:r>
      </w:hyperlink>
      <w:hyperlink r:id="rId30">
        <w:r>
          <w:rPr>
            <w:rStyle w:val="Hyperlink"/>
          </w:rPr>
          <w:t xml:space="preserve">[8]</w:t>
        </w:r>
      </w:hyperlink>
      <w:r>
        <w:t xml:space="preserve">.</w:t>
      </w:r>
    </w:p>
    <w:p>
      <w:pPr>
        <w:pStyle w:val="Compact"/>
        <w:numPr>
          <w:ilvl w:val="0"/>
          <w:numId w:val="1003"/>
        </w:numPr>
      </w:pPr>
      <w:r>
        <w:t xml:space="preserve">European Commission,</w:t>
      </w:r>
      <w:r>
        <w:t xml:space="preserve"> </w:t>
      </w:r>
      <w:r>
        <w:rPr>
          <w:i/>
          <w:iCs/>
        </w:rPr>
        <w:t xml:space="preserve">EU Space Strategy for Security and Defence</w:t>
      </w:r>
      <w:r>
        <w:t xml:space="preserve"> </w:t>
      </w:r>
      <w:r>
        <w:t xml:space="preserve">(2023)</w:t>
      </w:r>
      <w:hyperlink r:id="rId31">
        <w:r>
          <w:rPr>
            <w:rStyle w:val="Hyperlink"/>
          </w:rPr>
          <w:t xml:space="preserve">[10]</w:t>
        </w:r>
      </w:hyperlink>
      <w:hyperlink r:id="rId49">
        <w:r>
          <w:rPr>
            <w:rStyle w:val="Hyperlink"/>
          </w:rPr>
          <w:t xml:space="preserve">[22]</w:t>
        </w:r>
      </w:hyperlink>
      <w:r>
        <w:t xml:space="preserve">.</w:t>
      </w:r>
    </w:p>
    <w:p>
      <w:pPr>
        <w:pStyle w:val="Compact"/>
        <w:numPr>
          <w:ilvl w:val="0"/>
          <w:numId w:val="1003"/>
        </w:numPr>
      </w:pPr>
      <w:r>
        <w:t xml:space="preserve">European Innovation Council (EIC) – EIC Fund overview</w:t>
      </w:r>
      <w:hyperlink r:id="rId34">
        <w:r>
          <w:rPr>
            <w:rStyle w:val="Hyperlink"/>
          </w:rPr>
          <w:t xml:space="preserve">[12]</w:t>
        </w:r>
      </w:hyperlink>
      <w:r>
        <w:t xml:space="preserve">.</w:t>
      </w:r>
    </w:p>
    <w:p>
      <w:pPr>
        <w:pStyle w:val="Compact"/>
        <w:numPr>
          <w:ilvl w:val="0"/>
          <w:numId w:val="1003"/>
        </w:numPr>
      </w:pPr>
      <w:r>
        <w:t xml:space="preserve">Planet Labs Financials (2025)</w:t>
      </w:r>
      <w:hyperlink r:id="rId37">
        <w:r>
          <w:rPr>
            <w:rStyle w:val="Hyperlink"/>
          </w:rPr>
          <w:t xml:space="preserve">[14]</w:t>
        </w:r>
      </w:hyperlink>
      <w:r>
        <w:t xml:space="preserve">; Spire Global (2025)</w:t>
      </w:r>
      <w:hyperlink r:id="rId39">
        <w:r>
          <w:rPr>
            <w:rStyle w:val="Hyperlink"/>
          </w:rPr>
          <w:t xml:space="preserve">[15]</w:t>
        </w:r>
      </w:hyperlink>
      <w:r>
        <w:t xml:space="preserve">; BlackSky (2025)</w:t>
      </w:r>
      <w:hyperlink r:id="rId36">
        <w:r>
          <w:rPr>
            <w:rStyle w:val="Hyperlink"/>
          </w:rPr>
          <w:t xml:space="preserve">[13]</w:t>
        </w:r>
      </w:hyperlink>
      <w:r>
        <w:t xml:space="preserve">.</w:t>
      </w:r>
    </w:p>
    <w:p>
      <w:pPr>
        <w:pStyle w:val="Compact"/>
        <w:numPr>
          <w:ilvl w:val="0"/>
          <w:numId w:val="1003"/>
        </w:numPr>
      </w:pPr>
      <w:r>
        <w:t xml:space="preserve">PwC (Dec 2025)</w:t>
      </w:r>
      <w:r>
        <w:t xml:space="preserve"> </w:t>
      </w:r>
      <w:r>
        <w:rPr>
          <w:i/>
          <w:iCs/>
        </w:rPr>
        <w:t xml:space="preserve">US Aerospace &amp; Defense Deals Outlook 2026</w:t>
      </w:r>
      <w:hyperlink r:id="rId41">
        <w:r>
          <w:rPr>
            <w:rStyle w:val="Hyperlink"/>
          </w:rPr>
          <w:t xml:space="preserve">[23]</w:t>
        </w:r>
      </w:hyperlink>
      <w:hyperlink r:id="rId42">
        <w:r>
          <w:rPr>
            <w:rStyle w:val="Hyperlink"/>
          </w:rPr>
          <w:t xml:space="preserve">[24]</w:t>
        </w:r>
      </w:hyperlink>
      <w:r>
        <w:t xml:space="preserve">.</w:t>
      </w:r>
    </w:p>
    <w:bookmarkEnd w:id="50"/>
    <w:bookmarkEnd w:id="51"/>
    <w:bookmarkEnd w:id="52"/>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Satellogic Launches Aleph Observer, a Persistent Global Intelligence Capability Designed for Sustained Awareness at Scale - Satellogic</w:t>
      </w:r>
    </w:p>
    <w:p>
      <w:pPr>
        <w:pStyle w:val="BodyText"/>
      </w:pPr>
      <w:hyperlink r:id="rId53">
        <w:r>
          <w:rPr>
            <w:rStyle w:val="Hyperlink"/>
          </w:rPr>
          <w:t xml:space="preserve">https://satellogic.com/news/press-releases/satellogic-launches-aleph-observer-a-persistent-global-intelligence-capability-designed-for-sustained-awareness-at-scale/</w:t>
        </w:r>
      </w:hyperlink>
    </w:p>
    <w:p>
      <w:pPr>
        <w:pStyle w:val="BodyText"/>
      </w:pPr>
      <w:hyperlink r:id="rId24">
        <w:r>
          <w:rPr>
            <w:rStyle w:val="Hyperlink"/>
          </w:rPr>
          <w:t xml:space="preserve">[3]</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46">
        <w:r>
          <w:rPr>
            <w:rStyle w:val="Hyperlink"/>
          </w:rPr>
          <w:t xml:space="preserve">[21]</w:t>
        </w:r>
      </w:hyperlink>
      <w:r>
        <w:t xml:space="preserve"> </w:t>
      </w:r>
      <w:r>
        <w:t xml:space="preserve"> </w:t>
      </w:r>
      <w:r>
        <w:t xml:space="preserve">Earth Observation Market Set to Reach USD 14.55 Billion by 2034, As Satellite Data Demand Rises</w:t>
      </w:r>
      <w:r>
        <w:t xml:space="preserve"> </w:t>
      </w:r>
    </w:p>
    <w:p>
      <w:pPr>
        <w:pStyle w:val="BodyText"/>
      </w:pPr>
      <w:hyperlink r:id="rId54">
        <w:r>
          <w:rPr>
            <w:rStyle w:val="Hyperlink"/>
          </w:rPr>
          <w:t xml:space="preserve">https://www.einpresswire.com/article/889594387/earth-observation-market-set-to-reach-usd-14-55-billion-by-2034-as-satellite-data-demand-rises</w:t>
        </w:r>
      </w:hyperlink>
    </w:p>
    <w:p>
      <w:pPr>
        <w:pStyle w:val="BodyText"/>
      </w:pPr>
      <w:hyperlink r:id="rId25">
        <w:r>
          <w:rPr>
            <w:rStyle w:val="Hyperlink"/>
          </w:rPr>
          <w:t xml:space="preserve">[4]</w:t>
        </w:r>
      </w:hyperlink>
      <w:r>
        <w:t xml:space="preserve"> </w:t>
      </w:r>
      <w:hyperlink r:id="rId30">
        <w:r>
          <w:rPr>
            <w:rStyle w:val="Hyperlink"/>
          </w:rPr>
          <w:t xml:space="preserve">[8]</w:t>
        </w:r>
      </w:hyperlink>
      <w:r>
        <w:t xml:space="preserve"> </w:t>
      </w:r>
      <w:r>
        <w:t xml:space="preserve">Building a European Geospatial Intelligence Capability: Mapping Initiatives, Identifying Gaps, and Outlining Strategic Options</w:t>
      </w:r>
    </w:p>
    <w:p>
      <w:pPr>
        <w:pStyle w:val="BodyText"/>
      </w:pPr>
      <w:hyperlink r:id="rId55">
        <w:r>
          <w:rPr>
            <w:rStyle w:val="Hyperlink"/>
          </w:rPr>
          <w:t xml:space="preserve">https://www.iris-france.org/wp-content/uploads/2026/01/ARES_2026_01_122_European_Spatial_Intelligence_PolicyPaper.pdf</w:t>
        </w:r>
      </w:hyperlink>
    </w:p>
    <w:p>
      <w:pPr>
        <w:pStyle w:val="BodyText"/>
      </w:pPr>
      <w:hyperlink r:id="rId31">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49">
        <w:r>
          <w:rPr>
            <w:rStyle w:val="Hyperlink"/>
          </w:rPr>
          <w:t xml:space="preserve">[22]</w:t>
        </w:r>
      </w:hyperlink>
      <w:r>
        <w:t xml:space="preserve"> </w:t>
      </w:r>
      <w:r>
        <w:t xml:space="preserve">EU Space Strategy for Security and Defence - Defence Industry and Space</w:t>
      </w:r>
    </w:p>
    <w:p>
      <w:pPr>
        <w:pStyle w:val="BodyText"/>
      </w:pPr>
      <w:hyperlink r:id="rId56">
        <w:r>
          <w:rPr>
            <w:rStyle w:val="Hyperlink"/>
          </w:rPr>
          <w:t xml:space="preserve">https://defence-industry-space.ec.europa.eu/eu-space/eu-space-strategy-security-and-defence_en</w:t>
        </w:r>
      </w:hyperlink>
    </w:p>
    <w:p>
      <w:pPr>
        <w:pStyle w:val="BodyText"/>
      </w:pPr>
      <w:hyperlink r:id="rId34">
        <w:r>
          <w:rPr>
            <w:rStyle w:val="Hyperlink"/>
          </w:rPr>
          <w:t xml:space="preserve">[12]</w:t>
        </w:r>
      </w:hyperlink>
      <w:r>
        <w:t xml:space="preserve"> </w:t>
      </w:r>
      <w:r>
        <w:t xml:space="preserve">EIC Fund - European Innovation Council - European Commission</w:t>
      </w:r>
    </w:p>
    <w:p>
      <w:pPr>
        <w:pStyle w:val="BodyText"/>
      </w:pPr>
      <w:hyperlink r:id="rId57">
        <w:r>
          <w:rPr>
            <w:rStyle w:val="Hyperlink"/>
          </w:rPr>
          <w:t xml:space="preserve">https://eic.ec.europa.eu/eic-fund_en</w:t>
        </w:r>
      </w:hyperlink>
    </w:p>
    <w:p>
      <w:pPr>
        <w:pStyle w:val="BodyText"/>
      </w:pPr>
      <w:hyperlink r:id="rId36">
        <w:r>
          <w:rPr>
            <w:rStyle w:val="Hyperlink"/>
          </w:rPr>
          <w:t xml:space="preserve">[13]</w:t>
        </w:r>
      </w:hyperlink>
      <w:r>
        <w:t xml:space="preserve"> </w:t>
      </w:r>
      <w:r>
        <w:t xml:space="preserve">BlackSky Technology (BKSY) - Revenue</w:t>
      </w:r>
    </w:p>
    <w:p>
      <w:pPr>
        <w:pStyle w:val="BodyText"/>
      </w:pPr>
      <w:hyperlink r:id="rId58">
        <w:r>
          <w:rPr>
            <w:rStyle w:val="Hyperlink"/>
          </w:rPr>
          <w:t xml:space="preserve">https://companiesmarketcap.com/eur/blacksky-technology/revenue/</w:t>
        </w:r>
      </w:hyperlink>
    </w:p>
    <w:p>
      <w:pPr>
        <w:pStyle w:val="BodyText"/>
      </w:pPr>
      <w:hyperlink r:id="rId37">
        <w:r>
          <w:rPr>
            <w:rStyle w:val="Hyperlink"/>
          </w:rPr>
          <w:t xml:space="preserve">[14]</w:t>
        </w:r>
      </w:hyperlink>
      <w:r>
        <w:t xml:space="preserve"> </w:t>
      </w:r>
      <w:r>
        <w:t xml:space="preserve">Planet Labs (PL) - Revenue</w:t>
      </w:r>
    </w:p>
    <w:p>
      <w:pPr>
        <w:pStyle w:val="BodyText"/>
      </w:pPr>
      <w:hyperlink r:id="rId59">
        <w:r>
          <w:rPr>
            <w:rStyle w:val="Hyperlink"/>
          </w:rPr>
          <w:t xml:space="preserve">https://companiesmarketcap.com/planet-labs/revenue/</w:t>
        </w:r>
      </w:hyperlink>
    </w:p>
    <w:p>
      <w:pPr>
        <w:pStyle w:val="BodyText"/>
      </w:pPr>
      <w:hyperlink r:id="rId39">
        <w:r>
          <w:rPr>
            <w:rStyle w:val="Hyperlink"/>
          </w:rPr>
          <w:t xml:space="preserve">[15]</w:t>
        </w:r>
      </w:hyperlink>
      <w:r>
        <w:t xml:space="preserve"> </w:t>
      </w:r>
      <w:r>
        <w:t xml:space="preserve">Spire Global (SPIR) - Revenue</w:t>
      </w:r>
    </w:p>
    <w:p>
      <w:pPr>
        <w:pStyle w:val="BodyText"/>
      </w:pPr>
      <w:hyperlink r:id="rId60">
        <w:r>
          <w:rPr>
            <w:rStyle w:val="Hyperlink"/>
          </w:rPr>
          <w:t xml:space="preserve">https://companiesmarketcap.com/spire-global/revenue/</w:t>
        </w:r>
      </w:hyperlink>
    </w:p>
    <w:p>
      <w:pPr>
        <w:pStyle w:val="BodyText"/>
      </w:pPr>
      <w:hyperlink r:id="rId41">
        <w:r>
          <w:rPr>
            <w:rStyle w:val="Hyperlink"/>
          </w:rPr>
          <w:t xml:space="preserve">[16]</w:t>
        </w:r>
      </w:hyperlink>
      <w:r>
        <w:t xml:space="preserve"> </w:t>
      </w:r>
      <w:hyperlink r:id="rId42">
        <w:r>
          <w:rPr>
            <w:rStyle w:val="Hyperlink"/>
          </w:rPr>
          <w:t xml:space="preserve">[17]</w:t>
        </w:r>
      </w:hyperlink>
      <w:r>
        <w:t xml:space="preserve"> </w:t>
      </w:r>
      <w:hyperlink r:id="rId41">
        <w:r>
          <w:rPr>
            <w:rStyle w:val="Hyperlink"/>
          </w:rPr>
          <w:t xml:space="preserve">[18]</w:t>
        </w:r>
      </w:hyperlink>
      <w:r>
        <w:t xml:space="preserve"> </w:t>
      </w:r>
      <w:hyperlink r:id="rId43">
        <w:r>
          <w:rPr>
            <w:rStyle w:val="Hyperlink"/>
          </w:rPr>
          <w:t xml:space="preserve">[19]</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r>
        <w:t xml:space="preserve">Aerospace and defense: US Deals 2026 outlook: PwC</w:t>
      </w:r>
      <w:r>
        <w:t xml:space="preserve"> </w:t>
      </w:r>
    </w:p>
    <w:p>
      <w:pPr>
        <w:pStyle w:val="BodyText"/>
      </w:pPr>
      <w:hyperlink r:id="rId61">
        <w:r>
          <w:rPr>
            <w:rStyle w:val="Hyperlink"/>
          </w:rPr>
          <w:t xml:space="preserve">https://www.pwc.com/us/en/industries/industrial-products/library/aerospace-defense-deals-outlook.html</w:t>
        </w:r>
      </w:hyperlink>
    </w:p>
    <w:p>
      <w:pPr>
        <w:pStyle w:val="BodyText"/>
      </w:pPr>
      <w:hyperlink r:id="rId44">
        <w:r>
          <w:rPr>
            <w:rStyle w:val="Hyperlink"/>
          </w:rPr>
          <w:t xml:space="preserve">[20]</w:t>
        </w:r>
      </w:hyperlink>
      <w:r>
        <w:t xml:space="preserve"> </w:t>
      </w:r>
      <w:r>
        <w:t xml:space="preserve">BlackSky secures investment from palantir and enters into multi-year strategic partnership following successful pilot project - BlackSky</w:t>
      </w:r>
    </w:p>
    <w:p>
      <w:pPr>
        <w:pStyle w:val="BodyText"/>
      </w:pPr>
      <w:hyperlink r:id="rId62">
        <w:r>
          <w:rPr>
            <w:rStyle w:val="Hyperlink"/>
          </w:rPr>
          <w:t xml:space="preserve">https://blacksky.com/press-releases/blacksky-secures-investment-from-palantir-and-enters-into-multi-year-strategic-partnership-following-successful-pilot-project/</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blacksky.com/press-releases/blacksky-secures-investment-from-palantir-and-enters-into-multi-year-strategic-partnership-following-successful-pilot-project/" TargetMode="External" /><Relationship Type="http://schemas.openxmlformats.org/officeDocument/2006/relationships/hyperlink" Id="rId44" Target="https://blacksky.com/press-releases/blacksky-secures-investment-from-palantir-and-enters-into-multi-year-strategic-partnership-following-successful-pilot-project/#:~:text=leading%20technology%20platform%20providing%20real,meet%20the%20increasing%20demand%20for" TargetMode="External" /><Relationship Type="http://schemas.openxmlformats.org/officeDocument/2006/relationships/hyperlink" Id="rId58" Target="https://companiesmarketcap.com/eur/blacksky-technology/revenue/" TargetMode="External" /><Relationship Type="http://schemas.openxmlformats.org/officeDocument/2006/relationships/hyperlink" Id="rId36" Target="https://companiesmarketcap.com/eur/blacksky-technology/revenue/#:~:text=Revenue%20in%202025%20%28TTM%29%3A%20%E2%82%AC92,Million" TargetMode="External" /><Relationship Type="http://schemas.openxmlformats.org/officeDocument/2006/relationships/hyperlink" Id="rId59" Target="https://companiesmarketcap.com/planet-labs/revenue/" TargetMode="External" /><Relationship Type="http://schemas.openxmlformats.org/officeDocument/2006/relationships/hyperlink" Id="rId37" Target="https://companiesmarketcap.com/planet-labs/revenue/#:~:text=Revenue%20for%20Planet%20Labs%20" TargetMode="External" /><Relationship Type="http://schemas.openxmlformats.org/officeDocument/2006/relationships/hyperlink" Id="rId60" Target="https://companiesmarketcap.com/spire-global/revenue/" TargetMode="External" /><Relationship Type="http://schemas.openxmlformats.org/officeDocument/2006/relationships/hyperlink" Id="rId39" Target="https://companiesmarketcap.com/spire-global/revenue/#:~:text=Revenue%20for%20Spire%20Global%20" TargetMode="External" /><Relationship Type="http://schemas.openxmlformats.org/officeDocument/2006/relationships/hyperlink" Id="rId56" Target="https://defence-industry-space.ec.europa.eu/eu-space/eu-space-strategy-security-and-defence_en" TargetMode="External" /><Relationship Type="http://schemas.openxmlformats.org/officeDocument/2006/relationships/hyperlink" Id="rId49" Target="https://defence-industry-space.ec.europa.eu/eu-space/eu-space-strategy-security-and-defence_en#:~:text=The%20EU%20will%20also%20enhance,EU%20defence%20and%20space%20industries" TargetMode="External" /><Relationship Type="http://schemas.openxmlformats.org/officeDocument/2006/relationships/hyperlink" Id="rId31" Target="https://defence-industry-space.ec.europa.eu/eu-space/eu-space-strategy-security-and-defence_en#:~:text=The%20Strategy%20proposes%20to%20maximise,of%20the%20EU%20space%20programmes" TargetMode="External" /><Relationship Type="http://schemas.openxmlformats.org/officeDocument/2006/relationships/hyperlink" Id="rId32" Target="https://defence-industry-space.ec.europa.eu/eu-space/eu-space-strategy-security-and-defence_en#:~:text=specifically%20with%20defence%20requirements" TargetMode="External" /><Relationship Type="http://schemas.openxmlformats.org/officeDocument/2006/relationships/hyperlink" Id="rId57" Target="https://eic.ec.europa.eu/eic-fund_en" TargetMode="External" /><Relationship Type="http://schemas.openxmlformats.org/officeDocument/2006/relationships/hyperlink" Id="rId34" Target="https://eic.ec.europa.eu/eic-fund_en#:~:text=Funds%20Mobilised" TargetMode="External" /><Relationship Type="http://schemas.openxmlformats.org/officeDocument/2006/relationships/hyperlink" Id="rId53" Target="https://satellogic.com/news/press-releases/satellogic-launches-aleph-observer-a-persistent-global-intelligence-capability-designed-for-sustained-awareness-at-scale/" TargetMode="External" /><Relationship Type="http://schemas.openxmlformats.org/officeDocument/2006/relationships/hyperlink" Id="rId21" Target="https://satellogic.com/news/press-releases/satellogic-launches-aleph-observer-a-persistent-global-intelligence-capability-designed-for-sustained-awareness-at-scale/#:~:text=,constellation%20expansion%20to%20match%20demand" TargetMode="External" /><Relationship Type="http://schemas.openxmlformats.org/officeDocument/2006/relationships/hyperlink" Id="rId22" Target="https://satellogic.com/news/press-releases/satellogic-launches-aleph-observer-a-persistent-global-intelligence-capability-designed-for-sustained-awareness-at-scale/#:~:text=visibility%20across%20priority%20locations%20without,supply%20chains%2C%20and%20development%20sites" TargetMode="External" /><Relationship Type="http://schemas.openxmlformats.org/officeDocument/2006/relationships/hyperlink" Id="rId54" Target="https://www.einpresswire.com/article/889594387/earth-observation-market-set-to-reach-usd-14-55-billion-by-2034-as-satellite-data-demand-rises" TargetMode="External" /><Relationship Type="http://schemas.openxmlformats.org/officeDocument/2006/relationships/hyperlink" Id="rId28" Target="https://www.einpresswire.com/article/889594387/earth-observation-market-set-to-reach-usd-14-55-billion-by-2034-as-satellite-data-demand-rises#:~:text=By%20Application%20Key%20applications%20include,and%20demand%20for%20geospatial%20intelligence" TargetMode="External" /><Relationship Type="http://schemas.openxmlformats.org/officeDocument/2006/relationships/hyperlink" Id="rId46" Target="https://www.einpresswire.com/article/889594387/earth-observation-market-set-to-reach-usd-14-55-billion-by-2034-as-satellite-data-demand-rises#:~:text=Leading%20companies%20include%3A%20Airbus%20Defence,Space%20BlackSky%20Spire%20Global%20Satellogic" TargetMode="External" /><Relationship Type="http://schemas.openxmlformats.org/officeDocument/2006/relationships/hyperlink" Id="rId27" Target="https://www.einpresswire.com/article/889594387/earth-observation-market-set-to-reach-usd-14-55-billion-by-2034-as-satellite-data-demand-rises#:~:text=Market%20Trends%20Shift%20Toward%20Real,agriculture%2C%20defense%2C%20and%20environmental%20applications" TargetMode="External" /><Relationship Type="http://schemas.openxmlformats.org/officeDocument/2006/relationships/hyperlink" Id="rId24" Target="https://www.einpresswire.com/article/889594387/earth-observation-market-set-to-reach-usd-14-55-billion-by-2034-as-satellite-data-demand-rises#:~:text=PUNE%2C%20MAHARASHTRA%2C%20INDIA%2C%20February%208%2C,and%20advanced%20geospatial%20analytics%20infrastructure" TargetMode="External" /><Relationship Type="http://schemas.openxmlformats.org/officeDocument/2006/relationships/hyperlink" Id="rId26" Target="https://www.einpresswire.com/article/889594387/earth-observation-market-set-to-reach-usd-14-55-billion-by-2034-as-satellite-data-demand-rises#:~:text=planning,and%20advanced%20geospatial%20analytics%20infrastructure" TargetMode="External" /><Relationship Type="http://schemas.openxmlformats.org/officeDocument/2006/relationships/hyperlink" Id="rId55" Target="https://www.iris-france.org/wp-content/uploads/2026/01/ARES_2026_01_122_European_Spatial_Intelligence_PolicyPaper.pdf" TargetMode="External" /><Relationship Type="http://schemas.openxmlformats.org/officeDocument/2006/relationships/hyperlink" Id="rId30" Target="https://www.iris-france.org/wp-content/uploads/2026/01/ARES_2026_01_122_European_Spatial_Intelligence_PolicyPaper.pdf#:~:text=European%20capabilities%20in%20this%20sector,This%20paper%20examines%20Europe%E2%80%99s" TargetMode="External" /><Relationship Type="http://schemas.openxmlformats.org/officeDocument/2006/relationships/hyperlink" Id="rId25" Target="https://www.iris-france.org/wp-content/uploads/2026/01/ARES_2026_01_122_European_Spatial_Intelligence_PolicyPaper.pdf#:~:text=Space,This" TargetMode="External" /><Relationship Type="http://schemas.openxmlformats.org/officeDocument/2006/relationships/hyperlink" Id="rId61" Target="https://www.pwc.com/us/en/industries/industrial-products/library/aerospace-defense-deals-outlook.html" TargetMode="External" /><Relationship Type="http://schemas.openxmlformats.org/officeDocument/2006/relationships/hyperlink" Id="rId43" Target="https://www.pwc.com/us/en/industries/industrial-products/library/aerospace-defense-deals-outlook.html#:~:text=,and%20%E2%80%9CGolden%20Dome%E2%80%9D%20defense%20initiatives" TargetMode="External" /><Relationship Type="http://schemas.openxmlformats.org/officeDocument/2006/relationships/hyperlink" Id="rId41" Target="https://www.pwc.com/us/en/industries/industrial-products/library/aerospace-defense-deals-outlook.html#:~:text=,favoring%20minority%20stakes%2C%20joint%20ventures" TargetMode="External" /><Relationship Type="http://schemas.openxmlformats.org/officeDocument/2006/relationships/hyperlink" Id="rId42" Target="https://www.pwc.com/us/en/industries/industrial-products/library/aerospace-defense-deals-outlook.html#:~:text=Deal%20structures%20and%20exit%20options,evolve" TargetMode="External" /></Relationships>
</file>

<file path=word/_rels/footnotes.xml.rels><?xml version="1.0" encoding="UTF-8"?><Relationships xmlns="http://schemas.openxmlformats.org/package/2006/relationships"><Relationship Type="http://schemas.openxmlformats.org/officeDocument/2006/relationships/hyperlink" Id="rId62" Target="https://blacksky.com/press-releases/blacksky-secures-investment-from-palantir-and-enters-into-multi-year-strategic-partnership-following-successful-pilot-project/" TargetMode="External" /><Relationship Type="http://schemas.openxmlformats.org/officeDocument/2006/relationships/hyperlink" Id="rId44" Target="https://blacksky.com/press-releases/blacksky-secures-investment-from-palantir-and-enters-into-multi-year-strategic-partnership-following-successful-pilot-project/#:~:text=leading%20technology%20platform%20providing%20real,meet%20the%20increasing%20demand%20for" TargetMode="External" /><Relationship Type="http://schemas.openxmlformats.org/officeDocument/2006/relationships/hyperlink" Id="rId58" Target="https://companiesmarketcap.com/eur/blacksky-technology/revenue/" TargetMode="External" /><Relationship Type="http://schemas.openxmlformats.org/officeDocument/2006/relationships/hyperlink" Id="rId36" Target="https://companiesmarketcap.com/eur/blacksky-technology/revenue/#:~:text=Revenue%20in%202025%20%28TTM%29%3A%20%E2%82%AC92,Million" TargetMode="External" /><Relationship Type="http://schemas.openxmlformats.org/officeDocument/2006/relationships/hyperlink" Id="rId59" Target="https://companiesmarketcap.com/planet-labs/revenue/" TargetMode="External" /><Relationship Type="http://schemas.openxmlformats.org/officeDocument/2006/relationships/hyperlink" Id="rId37" Target="https://companiesmarketcap.com/planet-labs/revenue/#:~:text=Revenue%20for%20Planet%20Labs%20" TargetMode="External" /><Relationship Type="http://schemas.openxmlformats.org/officeDocument/2006/relationships/hyperlink" Id="rId60" Target="https://companiesmarketcap.com/spire-global/revenue/" TargetMode="External" /><Relationship Type="http://schemas.openxmlformats.org/officeDocument/2006/relationships/hyperlink" Id="rId39" Target="https://companiesmarketcap.com/spire-global/revenue/#:~:text=Revenue%20for%20Spire%20Global%20" TargetMode="External" /><Relationship Type="http://schemas.openxmlformats.org/officeDocument/2006/relationships/hyperlink" Id="rId56" Target="https://defence-industry-space.ec.europa.eu/eu-space/eu-space-strategy-security-and-defence_en" TargetMode="External" /><Relationship Type="http://schemas.openxmlformats.org/officeDocument/2006/relationships/hyperlink" Id="rId49" Target="https://defence-industry-space.ec.europa.eu/eu-space/eu-space-strategy-security-and-defence_en#:~:text=The%20EU%20will%20also%20enhance,EU%20defence%20and%20space%20industries" TargetMode="External" /><Relationship Type="http://schemas.openxmlformats.org/officeDocument/2006/relationships/hyperlink" Id="rId31" Target="https://defence-industry-space.ec.europa.eu/eu-space/eu-space-strategy-security-and-defence_en#:~:text=The%20Strategy%20proposes%20to%20maximise,of%20the%20EU%20space%20programmes" TargetMode="External" /><Relationship Type="http://schemas.openxmlformats.org/officeDocument/2006/relationships/hyperlink" Id="rId32" Target="https://defence-industry-space.ec.europa.eu/eu-space/eu-space-strategy-security-and-defence_en#:~:text=specifically%20with%20defence%20requirements" TargetMode="External" /><Relationship Type="http://schemas.openxmlformats.org/officeDocument/2006/relationships/hyperlink" Id="rId57" Target="https://eic.ec.europa.eu/eic-fund_en" TargetMode="External" /><Relationship Type="http://schemas.openxmlformats.org/officeDocument/2006/relationships/hyperlink" Id="rId34" Target="https://eic.ec.europa.eu/eic-fund_en#:~:text=Funds%20Mobilised" TargetMode="External" /><Relationship Type="http://schemas.openxmlformats.org/officeDocument/2006/relationships/hyperlink" Id="rId53" Target="https://satellogic.com/news/press-releases/satellogic-launches-aleph-observer-a-persistent-global-intelligence-capability-designed-for-sustained-awareness-at-scale/" TargetMode="External" /><Relationship Type="http://schemas.openxmlformats.org/officeDocument/2006/relationships/hyperlink" Id="rId21" Target="https://satellogic.com/news/press-releases/satellogic-launches-aleph-observer-a-persistent-global-intelligence-capability-designed-for-sustained-awareness-at-scale/#:~:text=,constellation%20expansion%20to%20match%20demand" TargetMode="External" /><Relationship Type="http://schemas.openxmlformats.org/officeDocument/2006/relationships/hyperlink" Id="rId22" Target="https://satellogic.com/news/press-releases/satellogic-launches-aleph-observer-a-persistent-global-intelligence-capability-designed-for-sustained-awareness-at-scale/#:~:text=visibility%20across%20priority%20locations%20without,supply%20chains%2C%20and%20development%20sites" TargetMode="External" /><Relationship Type="http://schemas.openxmlformats.org/officeDocument/2006/relationships/hyperlink" Id="rId54" Target="https://www.einpresswire.com/article/889594387/earth-observation-market-set-to-reach-usd-14-55-billion-by-2034-as-satellite-data-demand-rises" TargetMode="External" /><Relationship Type="http://schemas.openxmlformats.org/officeDocument/2006/relationships/hyperlink" Id="rId28" Target="https://www.einpresswire.com/article/889594387/earth-observation-market-set-to-reach-usd-14-55-billion-by-2034-as-satellite-data-demand-rises#:~:text=By%20Application%20Key%20applications%20include,and%20demand%20for%20geospatial%20intelligence" TargetMode="External" /><Relationship Type="http://schemas.openxmlformats.org/officeDocument/2006/relationships/hyperlink" Id="rId46" Target="https://www.einpresswire.com/article/889594387/earth-observation-market-set-to-reach-usd-14-55-billion-by-2034-as-satellite-data-demand-rises#:~:text=Leading%20companies%20include%3A%20Airbus%20Defence,Space%20BlackSky%20Spire%20Global%20Satellogic" TargetMode="External" /><Relationship Type="http://schemas.openxmlformats.org/officeDocument/2006/relationships/hyperlink" Id="rId27" Target="https://www.einpresswire.com/article/889594387/earth-observation-market-set-to-reach-usd-14-55-billion-by-2034-as-satellite-data-demand-rises#:~:text=Market%20Trends%20Shift%20Toward%20Real,agriculture%2C%20defense%2C%20and%20environmental%20applications" TargetMode="External" /><Relationship Type="http://schemas.openxmlformats.org/officeDocument/2006/relationships/hyperlink" Id="rId24" Target="https://www.einpresswire.com/article/889594387/earth-observation-market-set-to-reach-usd-14-55-billion-by-2034-as-satellite-data-demand-rises#:~:text=PUNE%2C%20MAHARASHTRA%2C%20INDIA%2C%20February%208%2C,and%20advanced%20geospatial%20analytics%20infrastructure" TargetMode="External" /><Relationship Type="http://schemas.openxmlformats.org/officeDocument/2006/relationships/hyperlink" Id="rId26" Target="https://www.einpresswire.com/article/889594387/earth-observation-market-set-to-reach-usd-14-55-billion-by-2034-as-satellite-data-demand-rises#:~:text=planning,and%20advanced%20geospatial%20analytics%20infrastructure" TargetMode="External" /><Relationship Type="http://schemas.openxmlformats.org/officeDocument/2006/relationships/hyperlink" Id="rId55" Target="https://www.iris-france.org/wp-content/uploads/2026/01/ARES_2026_01_122_European_Spatial_Intelligence_PolicyPaper.pdf" TargetMode="External" /><Relationship Type="http://schemas.openxmlformats.org/officeDocument/2006/relationships/hyperlink" Id="rId30" Target="https://www.iris-france.org/wp-content/uploads/2026/01/ARES_2026_01_122_European_Spatial_Intelligence_PolicyPaper.pdf#:~:text=European%20capabilities%20in%20this%20sector,This%20paper%20examines%20Europe%E2%80%99s" TargetMode="External" /><Relationship Type="http://schemas.openxmlformats.org/officeDocument/2006/relationships/hyperlink" Id="rId25" Target="https://www.iris-france.org/wp-content/uploads/2026/01/ARES_2026_01_122_European_Spatial_Intelligence_PolicyPaper.pdf#:~:text=Space,This" TargetMode="External" /><Relationship Type="http://schemas.openxmlformats.org/officeDocument/2006/relationships/hyperlink" Id="rId61" Target="https://www.pwc.com/us/en/industries/industrial-products/library/aerospace-defense-deals-outlook.html" TargetMode="External" /><Relationship Type="http://schemas.openxmlformats.org/officeDocument/2006/relationships/hyperlink" Id="rId43" Target="https://www.pwc.com/us/en/industries/industrial-products/library/aerospace-defense-deals-outlook.html#:~:text=,and%20%E2%80%9CGolden%20Dome%E2%80%9D%20defense%20initiatives" TargetMode="External" /><Relationship Type="http://schemas.openxmlformats.org/officeDocument/2006/relationships/hyperlink" Id="rId41" Target="https://www.pwc.com/us/en/industries/industrial-products/library/aerospace-defense-deals-outlook.html#:~:text=,favoring%20minority%20stakes%2C%20joint%20ventures" TargetMode="External" /><Relationship Type="http://schemas.openxmlformats.org/officeDocument/2006/relationships/hyperlink" Id="rId42" Target="https://www.pwc.com/us/en/industries/industrial-products/library/aerospace-defense-deals-outlook.html#:~:text=Deal%20structures%20and%20exit%20options,evol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2026-03-10T18:00:03Z</dcterms:created>
  <dcterms:modified xsi:type="dcterms:W3CDTF">2026-03-10T18:00:03Z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