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51F3" w14:textId="5DBD8B52" w:rsidR="006818C2" w:rsidRDefault="004D1855">
      <w:r>
        <w:t>COVIDiSTRESS</w:t>
      </w:r>
    </w:p>
    <w:p w14:paraId="61BED4E1" w14:textId="7B6CAA89" w:rsidR="004D1855" w:rsidRDefault="004D1855">
      <w:pPr>
        <w:pBdr>
          <w:bottom w:val="single" w:sz="6" w:space="1" w:color="auto"/>
        </w:pBdr>
      </w:pPr>
      <w:r>
        <w:t>-Objetivo da pesquisa: Contibuir para a compreensão da interseção entre aspectos físicos e comportamentais relacionados a pandemia</w:t>
      </w:r>
      <w:r w:rsidR="00571245">
        <w:t>.</w:t>
      </w:r>
    </w:p>
    <w:p w14:paraId="66A1EFCF" w14:textId="6D79B2C9" w:rsidR="004D1855" w:rsidRDefault="004D1855">
      <w:pPr>
        <w:pBdr>
          <w:bottom w:val="single" w:sz="6" w:space="1" w:color="auto"/>
        </w:pBdr>
      </w:pPr>
    </w:p>
    <w:p w14:paraId="72554972" w14:textId="4CEF8C14" w:rsidR="004D1855" w:rsidRDefault="004D1855">
      <w:pPr>
        <w:pBdr>
          <w:bottom w:val="single" w:sz="6" w:space="1" w:color="auto"/>
        </w:pBdr>
      </w:pPr>
      <w:r>
        <w:t>Pagina1</w:t>
      </w:r>
    </w:p>
    <w:p w14:paraId="1D20F986" w14:textId="12D7531E" w:rsidR="004D1855" w:rsidRDefault="0051474F">
      <w:r>
        <w:t>- Maioria dos dados relatados: paises desenvolvidos e paises subdesenvolvidos</w:t>
      </w:r>
      <w:r w:rsidR="00571245">
        <w:t>.</w:t>
      </w:r>
    </w:p>
    <w:p w14:paraId="2A406802" w14:textId="079B1DBD" w:rsidR="0051474F" w:rsidRDefault="0051474F">
      <w:pPr>
        <w:pBdr>
          <w:bottom w:val="single" w:sz="6" w:space="1" w:color="auto"/>
        </w:pBdr>
      </w:pPr>
      <w:r>
        <w:t>Pagina2</w:t>
      </w:r>
    </w:p>
    <w:p w14:paraId="5BED3C4A" w14:textId="7099067A" w:rsidR="0051474F" w:rsidRDefault="0051474F">
      <w:r>
        <w:t>- Motivo da pesquisa: - Indentificar nuances em fatores de risco psicológico e comportamental</w:t>
      </w:r>
      <w:r w:rsidR="00571245">
        <w:t>;</w:t>
      </w:r>
    </w:p>
    <w:p w14:paraId="46AEC638" w14:textId="737A3E9A" w:rsidR="0051474F" w:rsidRDefault="0051474F">
      <w:r>
        <w:t>- Ajudar na adoção de políticas adequadas</w:t>
      </w:r>
      <w:r w:rsidR="00571245">
        <w:t>;</w:t>
      </w:r>
    </w:p>
    <w:p w14:paraId="4461ECF0" w14:textId="0B0BD818" w:rsidR="0051474F" w:rsidRDefault="0051474F">
      <w:r>
        <w:t>- Não possui conclusão</w:t>
      </w:r>
      <w:r w:rsidR="00571245">
        <w:t>.</w:t>
      </w:r>
    </w:p>
    <w:p w14:paraId="3D2C54CD" w14:textId="7DB8A334" w:rsidR="0051474F" w:rsidRDefault="0051474F">
      <w:r>
        <w:tab/>
        <w:t>PARTICIPANTES: 173,426 pessoas acessaram a pesquisa online, apenas 125,306 estavam no crit</w:t>
      </w:r>
      <w:r w:rsidR="00571245">
        <w:t>é</w:t>
      </w:r>
      <w:r>
        <w:t>rio de avaliação</w:t>
      </w:r>
    </w:p>
    <w:p w14:paraId="6CD68E49" w14:textId="7CEE117D" w:rsidR="0051474F" w:rsidRDefault="0051474F">
      <w:r>
        <w:tab/>
        <w:t>MÉTODOS: foi utilizado um formulário que consistia em duas partes, a primeira parte continha dados demográficos, autorrelatos sobre o efeito imediato da pandemia(estado de isolamento, experiência em primeira mão, risco atenuado), avaliação de personalidade(BFI-S), Escala curta de autorrelato de solidão(SLON-3) com base na escala de solidão UCLA, escala de estresse percebido(PSS-10), autorrelatos sobre a confiança interpessoal e institucional(com base em diretrizes da OCDE 2017) e itens que medem comportamentos diários, incluindo conformidade com as normas gerais e sociais Medidas Preventivas.</w:t>
      </w:r>
    </w:p>
    <w:p w14:paraId="5421D787" w14:textId="64A2DC90" w:rsidR="0051474F" w:rsidRDefault="0051474F">
      <w:r>
        <w:tab/>
        <w:t>A segunda parte consistia em itens mais específicos relacionados às experiências das pessoas com estresse e preocupação durante o surto em curso do coronavírus</w:t>
      </w:r>
      <w:r w:rsidR="00A37C21">
        <w:t>(acesso as amenidades, perda de trabalho, adaptação de trabalho, educação, e interações sociais em plataformas digitais, o estresse social do confinamento com adultos e crianças), bem como itens que detectaram mecanismos de cópia de pessoas durante a crise COVID-19 (contato social, manter se informado, dedicar-se a separação, passatempos, religião) e a escala de provisoes sociais (SPS-10)</w:t>
      </w:r>
      <w:r w:rsidR="00DB3521">
        <w:t>.</w:t>
      </w:r>
    </w:p>
    <w:p w14:paraId="66516D4C" w14:textId="0CF66C3B" w:rsidR="00A37C21" w:rsidRDefault="00A37C21">
      <w:pPr>
        <w:pBdr>
          <w:bottom w:val="single" w:sz="6" w:space="1" w:color="auto"/>
        </w:pBdr>
      </w:pPr>
      <w:r>
        <w:tab/>
        <w:t>As respostas variam de acordo com a escala de likert</w:t>
      </w:r>
      <w:r w:rsidR="00831854">
        <w:t xml:space="preserve"> </w:t>
      </w:r>
      <w:r>
        <w:t>(6 pontos) de “discordo totalmente” para “concordo totalmente”</w:t>
      </w:r>
      <w:r w:rsidR="00DB3521">
        <w:t>.</w:t>
      </w:r>
    </w:p>
    <w:p w14:paraId="74927442" w14:textId="56F464F1" w:rsidR="00BD3D34" w:rsidRDefault="00BD3D34">
      <w:r>
        <w:t>Coeficiente de Cronbach – é o coeficiente de confiabilidade de uma pesquisa</w:t>
      </w:r>
      <w:r w:rsidR="00DB3521">
        <w:t>;</w:t>
      </w:r>
    </w:p>
    <w:p w14:paraId="28EFDCFC" w14:textId="2F2A00DF" w:rsidR="00571245" w:rsidRDefault="00571245">
      <w:r>
        <w:t>Índices utilizados:</w:t>
      </w:r>
    </w:p>
    <w:p w14:paraId="7970448C" w14:textId="43819D2D" w:rsidR="00571245" w:rsidRDefault="00571245">
      <w:r>
        <w:tab/>
        <w:t>-SPS</w:t>
      </w:r>
      <w:r w:rsidR="00BD13C9">
        <w:t>:</w:t>
      </w:r>
      <w:r w:rsidR="00BD13C9" w:rsidRPr="00BD13C9">
        <w:t xml:space="preserve"> </w:t>
      </w:r>
      <w:r w:rsidR="00BD13C9">
        <w:t>(Escala de provisões sociais), a fim de medir o apoio social percebido (o apoio social atua pelo fornecimento de um conjunto de recursos de que os indivíduos necessitam quando enfrentam situações de stress);</w:t>
      </w:r>
    </w:p>
    <w:p w14:paraId="378B8BD1" w14:textId="3E026C41" w:rsidR="00571245" w:rsidRDefault="00571245">
      <w:r>
        <w:tab/>
        <w:t>-SLON3</w:t>
      </w:r>
      <w:r w:rsidR="00BD13C9">
        <w:t>:</w:t>
      </w:r>
      <w:r w:rsidR="00C41D32" w:rsidRPr="00C41D32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r w:rsidR="008852CC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(</w:t>
      </w:r>
      <w:bookmarkStart w:id="0" w:name="_Hlk82516427"/>
      <w:r w:rsidR="008852CC" w:rsidRPr="008852CC">
        <w:rPr>
          <w:rFonts w:cstheme="minorHAnsi"/>
          <w:color w:val="222222"/>
          <w:shd w:val="clear" w:color="auto" w:fill="FFFFFF"/>
        </w:rPr>
        <w:t>escala de solidão</w:t>
      </w:r>
      <w:bookmarkEnd w:id="0"/>
      <w:r w:rsidR="008852CC"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) </w:t>
      </w:r>
      <w:r w:rsidR="00C41D32" w:rsidRPr="00C41D32">
        <w:rPr>
          <w:rFonts w:cstheme="minorHAnsi"/>
          <w:color w:val="222222"/>
          <w:shd w:val="clear" w:color="auto" w:fill="FFFFFF"/>
        </w:rPr>
        <w:t>Uma escala curta para medir a solidão em grandes pesquisas</w:t>
      </w:r>
      <w:r w:rsidR="001227F2">
        <w:rPr>
          <w:rFonts w:cstheme="minorHAnsi"/>
          <w:color w:val="222222"/>
          <w:shd w:val="clear" w:color="auto" w:fill="FFFFFF"/>
        </w:rPr>
        <w:t>;</w:t>
      </w:r>
    </w:p>
    <w:p w14:paraId="77D303B4" w14:textId="528C72DA" w:rsidR="00571245" w:rsidRDefault="00571245">
      <w:r>
        <w:tab/>
        <w:t>-PSS10</w:t>
      </w:r>
      <w:r w:rsidR="001227F2">
        <w:t xml:space="preserve">: </w:t>
      </w:r>
      <w:r w:rsidR="008852CC">
        <w:t>(</w:t>
      </w:r>
      <w:r w:rsidR="008852CC">
        <w:rPr>
          <w:rFonts w:cstheme="minorHAnsi"/>
          <w:color w:val="222222"/>
          <w:shd w:val="clear" w:color="auto" w:fill="FFFFFF"/>
        </w:rPr>
        <w:t>e</w:t>
      </w:r>
      <w:r w:rsidR="008852CC" w:rsidRPr="008852CC">
        <w:rPr>
          <w:rFonts w:cstheme="minorHAnsi"/>
          <w:color w:val="222222"/>
          <w:shd w:val="clear" w:color="auto" w:fill="FFFFFF"/>
        </w:rPr>
        <w:t>scala de estresse percebido</w:t>
      </w:r>
      <w:r w:rsidR="008852CC">
        <w:rPr>
          <w:rFonts w:cstheme="minorHAnsi"/>
          <w:color w:val="222222"/>
          <w:shd w:val="clear" w:color="auto" w:fill="FFFFFF"/>
        </w:rPr>
        <w:t xml:space="preserve">) </w:t>
      </w:r>
      <w:r w:rsidR="001227F2">
        <w:t>Uma escala curta para medir o estresse percebido das pessoas;</w:t>
      </w:r>
    </w:p>
    <w:p w14:paraId="66AC3BE3" w14:textId="78825984" w:rsidR="001227F2" w:rsidRDefault="001227F2"/>
    <w:p w14:paraId="3BB105EE" w14:textId="77777777" w:rsidR="001227F2" w:rsidRDefault="001227F2"/>
    <w:p w14:paraId="13C763CB" w14:textId="71800821" w:rsidR="00BD13C9" w:rsidRDefault="00BD13C9" w:rsidP="00C41D32">
      <w:r>
        <w:t>BFI-S:</w:t>
      </w:r>
    </w:p>
    <w:p w14:paraId="57C4CC1A" w14:textId="15202349" w:rsidR="00BD13C9" w:rsidRPr="001227F2" w:rsidRDefault="00BD13C9">
      <w:pPr>
        <w:rPr>
          <w:rFonts w:cstheme="minorHAnsi"/>
        </w:rPr>
      </w:pPr>
      <w:r>
        <w:tab/>
      </w:r>
      <w:r w:rsidRPr="001227F2">
        <w:rPr>
          <w:rFonts w:cstheme="minorHAnsi"/>
        </w:rPr>
        <w:t>-Neuroticism:</w:t>
      </w:r>
      <w:r w:rsidR="001227F2" w:rsidRPr="001227F2">
        <w:rPr>
          <w:rFonts w:cstheme="minorHAnsi"/>
          <w:shd w:val="clear" w:color="auto" w:fill="FFFFFF"/>
        </w:rPr>
        <w:t xml:space="preserve"> Neuroticismo é a tendência para experienciar </w:t>
      </w:r>
      <w:hyperlink r:id="rId4" w:tooltip="Emoções" w:history="1">
        <w:r w:rsidR="001227F2" w:rsidRPr="001227F2">
          <w:rPr>
            <w:rStyle w:val="Hyperlink"/>
            <w:rFonts w:cstheme="minorHAnsi"/>
            <w:color w:val="auto"/>
            <w:u w:val="none"/>
            <w:shd w:val="clear" w:color="auto" w:fill="FFFFFF"/>
          </w:rPr>
          <w:t>emoções</w:t>
        </w:r>
      </w:hyperlink>
      <w:r w:rsidR="001227F2" w:rsidRPr="001227F2">
        <w:rPr>
          <w:rFonts w:cstheme="minorHAnsi"/>
          <w:shd w:val="clear" w:color="auto" w:fill="FFFFFF"/>
        </w:rPr>
        <w:t> negativas, como </w:t>
      </w:r>
      <w:hyperlink r:id="rId5" w:tooltip="Raiva (sentimento)" w:history="1">
        <w:r w:rsidR="001227F2" w:rsidRPr="001227F2">
          <w:rPr>
            <w:rStyle w:val="Hyperlink"/>
            <w:rFonts w:cstheme="minorHAnsi"/>
            <w:color w:val="auto"/>
            <w:u w:val="none"/>
            <w:shd w:val="clear" w:color="auto" w:fill="FFFFFF"/>
          </w:rPr>
          <w:t>raiva</w:t>
        </w:r>
      </w:hyperlink>
      <w:r w:rsidR="001227F2" w:rsidRPr="001227F2">
        <w:rPr>
          <w:rFonts w:cstheme="minorHAnsi"/>
          <w:shd w:val="clear" w:color="auto" w:fill="FFFFFF"/>
        </w:rPr>
        <w:t>, </w:t>
      </w:r>
      <w:hyperlink r:id="rId6" w:tooltip="Ansiedade" w:history="1">
        <w:r w:rsidR="001227F2" w:rsidRPr="001227F2">
          <w:rPr>
            <w:rStyle w:val="Hyperlink"/>
            <w:rFonts w:cstheme="minorHAnsi"/>
            <w:color w:val="auto"/>
            <w:u w:val="none"/>
            <w:shd w:val="clear" w:color="auto" w:fill="FFFFFF"/>
          </w:rPr>
          <w:t>ansiedade</w:t>
        </w:r>
      </w:hyperlink>
      <w:r w:rsidR="001227F2" w:rsidRPr="001227F2">
        <w:rPr>
          <w:rFonts w:cstheme="minorHAnsi"/>
          <w:shd w:val="clear" w:color="auto" w:fill="FFFFFF"/>
        </w:rPr>
        <w:t> ou </w:t>
      </w:r>
      <w:hyperlink r:id="rId7" w:tooltip="Depressão (humor)" w:history="1">
        <w:r w:rsidR="001227F2" w:rsidRPr="001227F2">
          <w:rPr>
            <w:rStyle w:val="Hyperlink"/>
            <w:rFonts w:cstheme="minorHAnsi"/>
            <w:color w:val="auto"/>
            <w:u w:val="none"/>
            <w:shd w:val="clear" w:color="auto" w:fill="FFFFFF"/>
          </w:rPr>
          <w:t>depressão</w:t>
        </w:r>
      </w:hyperlink>
      <w:r w:rsidR="001227F2" w:rsidRPr="001227F2">
        <w:rPr>
          <w:rFonts w:cstheme="minorHAnsi"/>
          <w:shd w:val="clear" w:color="auto" w:fill="FFFFFF"/>
        </w:rPr>
        <w:t>. Por vezes é chamada de instabilidade emocional.</w:t>
      </w:r>
    </w:p>
    <w:p w14:paraId="6B199548" w14:textId="3AB6E29B" w:rsidR="00BD13C9" w:rsidRPr="001227F2" w:rsidRDefault="00BD13C9">
      <w:pPr>
        <w:rPr>
          <w:rFonts w:cstheme="minorHAnsi"/>
        </w:rPr>
      </w:pPr>
      <w:r w:rsidRPr="001227F2">
        <w:rPr>
          <w:rFonts w:cstheme="minorHAnsi"/>
        </w:rPr>
        <w:tab/>
        <w:t>-Agreeableness:</w:t>
      </w:r>
      <w:r w:rsidR="001227F2" w:rsidRPr="001227F2">
        <w:rPr>
          <w:rFonts w:cstheme="minorHAnsi"/>
          <w:shd w:val="clear" w:color="auto" w:fill="FFFFFF"/>
        </w:rPr>
        <w:t xml:space="preserve"> Agradabilidade é a tendência para ser compassivo e cooperante em vez de suspeitoso e antagonista face aos outros. Este traço reflete diferenças individuais na preocupação com a harmonia social.</w:t>
      </w:r>
    </w:p>
    <w:p w14:paraId="18DF2A83" w14:textId="65A9B5F8" w:rsidR="00BD13C9" w:rsidRPr="001227F2" w:rsidRDefault="00BD13C9">
      <w:pPr>
        <w:rPr>
          <w:rFonts w:cstheme="minorHAnsi"/>
        </w:rPr>
      </w:pPr>
      <w:r w:rsidRPr="001227F2">
        <w:rPr>
          <w:rFonts w:cstheme="minorHAnsi"/>
        </w:rPr>
        <w:tab/>
        <w:t>-Extraversion:</w:t>
      </w:r>
      <w:r w:rsidR="001227F2" w:rsidRPr="001227F2">
        <w:rPr>
          <w:rFonts w:cstheme="minorHAnsi"/>
          <w:shd w:val="clear" w:color="auto" w:fill="FFFFFF"/>
        </w:rPr>
        <w:t xml:space="preserve"> Extroversão é caracterizada por emoções positivas e pela tendência para procurar estimulação e a companhia dos outros. Este traço é marcado pelo profundo envolvimento com o mundo exterior.</w:t>
      </w:r>
    </w:p>
    <w:p w14:paraId="47B36E2E" w14:textId="5BE47001" w:rsidR="00BD13C9" w:rsidRPr="001227F2" w:rsidRDefault="00BD13C9">
      <w:pPr>
        <w:rPr>
          <w:rFonts w:cstheme="minorHAnsi"/>
        </w:rPr>
      </w:pPr>
      <w:r w:rsidRPr="001227F2">
        <w:rPr>
          <w:rFonts w:cstheme="minorHAnsi"/>
        </w:rPr>
        <w:tab/>
        <w:t>-Openess to experience:</w:t>
      </w:r>
      <w:r w:rsidR="001227F2" w:rsidRPr="001227F2">
        <w:rPr>
          <w:rFonts w:cstheme="minorHAnsi"/>
          <w:shd w:val="clear" w:color="auto" w:fill="FFFFFF"/>
        </w:rPr>
        <w:t xml:space="preserve"> Abertura é o interesse pela arte, emoção, aventura, ideias fora do comum, imaginação, curiosidade, e variedade de experiências. Este traço distingue as pessoas imaginativas das “terra-a-terra” e convencionais.</w:t>
      </w:r>
    </w:p>
    <w:p w14:paraId="2A9BDD43" w14:textId="78D14937" w:rsidR="001227F2" w:rsidRPr="001227F2" w:rsidRDefault="00BD13C9" w:rsidP="001227F2">
      <w:pPr>
        <w:rPr>
          <w:rFonts w:cstheme="minorHAnsi"/>
        </w:rPr>
      </w:pPr>
      <w:r w:rsidRPr="001227F2">
        <w:rPr>
          <w:rFonts w:cstheme="minorHAnsi"/>
        </w:rPr>
        <w:tab/>
        <w:t>-Conscientiousness:</w:t>
      </w:r>
      <w:r w:rsidR="001227F2" w:rsidRPr="001227F2">
        <w:rPr>
          <w:rFonts w:cstheme="minorHAnsi"/>
          <w:shd w:val="clear" w:color="auto" w:fill="FFFFFF"/>
        </w:rPr>
        <w:t xml:space="preserve"> Conscienciosidade é a tendência para mostrar autodisciplina, orientação para os deveres e para atingir os objetivos. Este traço mostra uma preferência pelo comportamento planejado em vez do espontâneo</w:t>
      </w:r>
      <w:r w:rsidR="00DB3521">
        <w:rPr>
          <w:rFonts w:cstheme="minorHAnsi"/>
          <w:shd w:val="clear" w:color="auto" w:fill="FFFFFF"/>
        </w:rPr>
        <w:t>.</w:t>
      </w:r>
    </w:p>
    <w:p w14:paraId="3F193900" w14:textId="38841D72" w:rsidR="00BD13C9" w:rsidRDefault="00BD13C9"/>
    <w:p w14:paraId="5F330C06" w14:textId="5DF55802" w:rsidR="00571245" w:rsidRDefault="00571245"/>
    <w:p w14:paraId="23747D3C" w14:textId="46F53360" w:rsidR="00BD3D34" w:rsidRDefault="00BD3D34"/>
    <w:p w14:paraId="47C0B5C7" w14:textId="77777777" w:rsidR="00BD3D34" w:rsidRDefault="00BD3D34"/>
    <w:p w14:paraId="3D2130AA" w14:textId="77777777" w:rsidR="004D1855" w:rsidRDefault="004D1855"/>
    <w:sectPr w:rsidR="004D18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55"/>
    <w:rsid w:val="001227F2"/>
    <w:rsid w:val="004D1855"/>
    <w:rsid w:val="0051474F"/>
    <w:rsid w:val="00517796"/>
    <w:rsid w:val="00571245"/>
    <w:rsid w:val="006818C2"/>
    <w:rsid w:val="00831854"/>
    <w:rsid w:val="008852CC"/>
    <w:rsid w:val="00A37C21"/>
    <w:rsid w:val="00BD13C9"/>
    <w:rsid w:val="00BD3D34"/>
    <w:rsid w:val="00C41D32"/>
    <w:rsid w:val="00DB3521"/>
    <w:rsid w:val="00EB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CBFA8"/>
  <w15:chartTrackingRefBased/>
  <w15:docId w15:val="{D42A5B7E-2BF4-4651-A1F6-E3DBA831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227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t.wikipedia.org/wiki/Depress%C3%A3o_(humor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t.wikipedia.org/wiki/Ansiedade" TargetMode="External"/><Relationship Id="rId5" Type="http://schemas.openxmlformats.org/officeDocument/2006/relationships/hyperlink" Target="https://pt.wikipedia.org/wiki/Raiva_(sentimento)" TargetMode="External"/><Relationship Id="rId4" Type="http://schemas.openxmlformats.org/officeDocument/2006/relationships/hyperlink" Target="https://pt.wikipedia.org/wiki/Emo%C3%A7%C3%B5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572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Jin Zhiei Lei Zhao</dc:creator>
  <cp:keywords/>
  <dc:description/>
  <cp:lastModifiedBy>Claudio Jin Zhiei Lei Zhao</cp:lastModifiedBy>
  <cp:revision>9</cp:revision>
  <dcterms:created xsi:type="dcterms:W3CDTF">2021-09-09T13:26:00Z</dcterms:created>
  <dcterms:modified xsi:type="dcterms:W3CDTF">2021-09-14T15:58:00Z</dcterms:modified>
</cp:coreProperties>
</file>