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0" w:name="_Toc0"/><w:r><w:t>Catatan Perubahan & Panduan Penggunaan Sistem Cashflow</w:t></w:r><w:bookmarkEnd w:id="0"/></w:p><w:p><w:pPr/><w:r><w:rPr><w:rFonts w:ascii="Calibri" w:hAnsi="Calibri" w:eastAsia="Calibri" w:cs="Calibri"/><w:color w:val="555555"/><w:sz w:val="22"/><w:szCs w:val="22"/><w:i w:val="1"/><w:iCs w:val="1"/></w:rPr><w:t xml:space="preserve">Moey Project — Backend Admin Dashboard</w:t></w:r></w:p><w:p><w:pPr/><w:r><w:rPr><w:rFonts w:ascii="Calibri" w:hAnsi="Calibri" w:eastAsia="Calibri" w:cs="Calibri"/><w:color w:val="777777"/><w:sz w:val="20"/><w:szCs w:val="20"/></w:rPr><w:t xml:space="preserve">Tanggal Update: 16 July 2026</w:t></w:r></w:p><w:p/><w:p><w:pPr/><w:r><w:pict><v:shape id="_x0000_s1005" type="#_x0000_t32" style="width:450pt; height:1pt; margin-left:0pt; margin-top:0pt; mso-position-horizontal:left; mso-position-vertical:top; mso-position-horizontal-relative:char; mso-position-vertical-relative:line;"><w10:wrap type="inline"/><v:stroke color="D0D0D0"/></v:shape></w:pict></w:r></w:p><w:p/><w:p><w:pPr/><w:r><w:rPr><w:rFonts w:ascii="Calibri" w:hAnsi="Calibri" w:eastAsia="Calibri" w:cs="Calibri"/><w:sz w:val="22"/><w:szCs w:val="22"/></w:rPr><w:t xml:space="preserve">Dokumen ini berisi catatan perubahan (changelog) serta panduan singkat mengenai fitur-fitur baru yang diimplementasikan berdasarkan revisi klien untuk dashboard Cashflow dan Manajemen Vendor pada Moey Project.</w:t></w:r></w:p><w:p/><w:p><w:pPr><w:pStyle w:val="Heading2"/></w:pPr><w:bookmarkStart w:id="1" w:name="_Toc1"/><w:r><w:t>1. Master Data Supplier / Vendor</w:t></w:r><w:bookmarkEnd w:id="1"/></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Menambahkan modul Master Data Supplier secara mandiri di menu dashboard untuk meregistrasi vendor/supplier yang bekerja sama dengan Moey Project.</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Buka menu "Supplier/Vendor" pada Sidebar kiri. Anda dapat melihat daftar supplier, menambahkan supplier baru dengan klik "+ Tambah Supplier", mengedit kontak/alamat, serta menghapus data supplier.</w:t></w:r></w:p><w:p/><w:p><w:pPr/><w:r><w:pict><v:shape id="_x0000_s1016"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2" w:name="_Toc2"/><w:r><w:t>2. Menghubungkan Item & Produk ke Supplier</w:t></w:r><w:bookmarkEnd w:id="2"/></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Setiap Item (di menu Item) dan Produk (di menu Produk) sekarang dapat dihubungkan ke salah satu supplier terdaftar. Data supplier ini langsung ditampilkan pada tabel cashflow detail proyek.</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Buka form edit atau tambah baru pada Item/Produk, lalu pilih nama Supplier pada dropdown menu yang disediakan. Pada halaman Cashflow detail proyek, nama supplier yang bersangkutan akan otomatis muncul di bawah label item/material agar pihak Cashflow mengetahui langsung kepada vendor mana pembayaran harus disalurkan.</w:t></w:r></w:p><w:p/><w:p><w:pPr/><w:r><w:pict><v:shape id="_x0000_s1024"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3" w:name="_Toc3"/><w:r><w:t>3. Kategori Produk & Input Harga Langsung</w:t></w:r><w:bookmarkEnd w:id="3"/></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Menambahkan kolom Kategori Produk (seperti Furniture, Glass, Metal, dll) di Master Produk, serta opsi toggle "Input Harga Langsung" untuk produk dengan harga dinamis/kustomisasi.</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Saat menambah/mengedit produk, pilih Kategori Produk. Jika produk tersebut (misalnya lemari kaca kustom) memiliki harga kustom atau bahan yang harganya dinamis, aktifkan toggle "Input Harga Langsung". Hal ini memungkinkan nominal harga produk dimasukkan secara fleksibel saat penginputan di dalam proyek.</w:t></w:r></w:p><w:p/><w:p><w:pPr/><w:r><w:pict><v:shape id="_x0000_s1032"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4" w:name="_Toc4"/><w:r><w:t>4. Persentase Fee Team & Individu Dinamis</w:t></w:r><w:bookmarkEnd w:id="4"/></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Mendukung alokasi nominal Fee Team dan Fee Individu secara dinamis dalam bentuk fixed nominal (Rupiah), persentase (%), maupun formula bawaan.</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Di bagian paling bawah halaman detail Cashflow Proyek (Tabel Fee), klik dropdown tipe fee untuk memilih tipe "%" (Persentase) atau "Rp" (Nominal Tetap). Masukkan persentase atau nominal yang diinginkan, dan sistem akan secara otomatis mengkalkulasi nominal bersih fee secara real-time.</w:t></w:r></w:p><w:p/><w:p><w:pPr/><w:r><w:pict><v:shape id="_x0000_s1040"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5" w:name="_Toc5"/><w:r><w:t>5. Termin Pembayaran Vendor (Internal & Fisik)</w:t></w:r><w:bookmarkEnd w:id="5"/></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Pemisahan kolom pembayaran DP dan kolom Pembayaran Termin secara terpisah pada satu baris record pembayaran vendor.</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Pada tabel Pembayaran Vendor (Internal & Fisik) di halaman Detail Proyek, nominal DP (Fase I) dan nominal Termin (Fase II) kini dipisah menjadi kolom mandiri. Masing-masing memiliki input tanggal jatuh tempo pembayaran dan checklist persetujuan/approval (AF, FB, JW) sendiri-sendiri, sehingga proses terminasi pembayaran vendor terdokumentasi dengan sangat presisi.</w:t></w:r></w:p><w:p/><w:p><w:pPr/><w:r><w:pict><v:shape id="_x0000_s1048"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6" w:name="_Toc6"/><w:r><w:t>6. List Pembayaran Harian & Dashboard Hutang</w:t></w:r><w:bookmarkEnd w:id="6"/></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Menambahkan Tab "Pembayaran General All Project" pada beranda Cashflow untuk memantau rencana pembayaran harian, serta card status "Total Hutang Vendor" secara global.</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 Buka menu Cashflow (Halaman awal). Pilih tab "Pembayaran General All Project" untuk melihat list rencana pembayaran vendor hari ini dari seluruh proyek yang aktif.</w:t></w:r></w:p><w:p><w:pPr/><w:r><w:rPr><w:rFonts w:ascii="Calibri" w:hAnsi="Calibri" w:eastAsia="Calibri" w:cs="Calibri"/><w:sz w:val="21"/><w:szCs w:val="21"/></w:rPr><w:t xml:space="preserve">• Admin, FB, atau JW dapat mencentang checklist persetujuan (AF/FB/JW) secara langsung dari list harian ini tanpa perlu masuk ke detail masing-masing proyek.</w:t></w:r></w:p><w:p><w:pPr/><w:r><w:rPr><w:rFonts w:ascii="Calibri" w:hAnsi="Calibri" w:eastAsia="Calibri" w:cs="Calibri"/><w:sz w:val="21"/><w:szCs w:val="21"/></w:rPr><w:t xml:space="preserve">• Card "Total Hutang Vendor" di bagian atas beranda menampilkan total sisa pembayaran yang belum lunas ke seluruh vendor/supplier secara global.</w:t></w:r></w:p><w:p/><w:p><w:pPr/><w:r><w:pict><v:shape id="_x0000_s1058"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7" w:name="_Toc7"/><w:r><w:t>7. Ekspor Excel Pembayaran</w:t></w:r><w:bookmarkEnd w:id="7"/></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Fitur untuk mengunduh/ekspor seluruh data rencana pembayaran harian (General) dan detail rincian vendor per-proyek langsung ke file Excel.</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 Ekspor List Harian: Klik tombol "Ekspor Excel" di tab Pembayaran General pada halaman awal Cashflow.</w:t></w:r></w:p><w:p><w:pPr/><w:r><w:rPr><w:rFonts w:ascii="Calibri" w:hAnsi="Calibri" w:eastAsia="Calibri" w:cs="Calibri"/><w:sz w:val="21"/><w:szCs w:val="21"/></w:rPr><w:t xml:space="preserve">• Ekspor Per Proyek: Masuk ke Detail Proyek, lalu klik tombol "Ekspor Rincian Vendor" di kanan atas untuk mengunduh file Excel berisi sheet terpisah untuk pembayaran Internal, Fisik, dan Eksternal.</w:t></w:r></w:p><w:p/><w:p><w:pPr/><w:r><w:pict><v:shape id="_x0000_s1067"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8" w:name="_Toc8"/><w:r><w:t>8. Quantity Item Desimal & Perbaikan Bug Backspace</w:t></w:r><w:bookmarkEnd w:id="8"/></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Mendukung input quantity item berbentuk desimal (koma) serta memperbaiki bug input quantity yang sebelumnya tidak dapat dihapus/di-backspace sampai habis.</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Saat menginput Item Pekerjaan pada proyek, Anda kini dapat mengetik quantity desimal (seperti 2.5 atau 3.14). Bug input quantity yang menyisakan angka minimal atau "nyangkut" saat di-backspace telah diperbaiki secara menyeluruh.</w:t></w:r></w:p><w:p/><w:p><w:pPr/><w:r><w:pict><v:shape id="_x0000_s1075"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9" w:name="_Toc9"/><w:r><w:t>9. Sistem Reminders & Reschedule PM</w:t></w:r><w:bookmarkEnd w:id="9"/></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Alarm otomatis H-7 dan H-0 jatuh tempo pembayaran, pengingat Fee H+3 setelah meeting approval material, serta penanda visual "Reschedule PM!" jika tanggal pembayaran overdue.</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 Tanggal rencana pembayaran awal otomatis terisi mengambil dari timeline kontrak proyek.</w:t></w:r></w:p><w:p><w:pPr/><w:r><w:rPr><w:rFonts w:ascii="Calibri" w:hAnsi="Calibri" w:eastAsia="Calibri" w:cs="Calibri"/><w:sz w:val="21"/><w:szCs w:val="21"/></w:rPr><w:t xml:space="preserve">• Jika tanggal rencana pembayaran sudah terlewati (hari ini atau kemarin) tetapi belum disetujui (FB/JW belum dicentang), kotak input tanggal akan berubah menjadi warna merah dan muncul badge "Reschedule PM!". Project Manager harus segera berkoordinasi dan menginput tanggal rencana baru.</w:t></w:r></w:p><w:p/><w:p><w:pPr/><w:r><w:pict><v:shape id="_x0000_s1084" type="#_x0000_t32" style="width:450pt; height:0.5pt; margin-left:0pt; margin-top:0pt; mso-position-horizontal:left; mso-position-vertical:top; mso-position-horizontal-relative:char; mso-position-vertical-relative:line;"><w10:wrap type="inline"/><v:stroke color="E0E0E0"/></v:shape></w:pict></w:r></w:p><w:p><w:pPr><w:pStyle w:val="Heading2"/></w:pPr><w:bookmarkStart w:id="10" w:name="_Toc10"/><w:r><w:t>10. Live Preview Format Ribuan</w:t></w:r><w:bookmarkEnd w:id="10"/></w:p><w:p><w:pPr/><w:r><w:rPr><w:rFonts w:ascii="Calibri" w:hAnsi="Calibri" w:eastAsia="Calibri" w:cs="Calibri"/><w:color w:val="555555"/><w:sz w:val="21"/><w:szCs w:val="21"/><w:b w:val="1"/><w:bCs w:val="1"/></w:rPr><w:t xml:space="preserve">Deskripsi Perubahan:</w:t></w:r></w:p><w:p><w:pPr/><w:r><w:rPr><w:rFonts w:ascii="Calibri" w:hAnsi="Calibri" w:eastAsia="Calibri" w:cs="Calibri"/><w:sz w:val="21"/><w:szCs w:val="21"/></w:rPr><w:t xml:space="preserve">Penambahan visualisasi instan berformat rupiah saat pengguna mengetik nominal angka di input field cashflow untuk meminimalkan salah ketik (human error).</w:t></w:r></w:p><w:p/><w:p><w:pPr/><w:r><w:rPr><w:rFonts w:ascii="Calibri" w:hAnsi="Calibri" w:eastAsia="Calibri" w:cs="Calibri"/><w:color w:val="555555"/><w:sz w:val="21"/><w:szCs w:val="21"/><w:b w:val="1"/><w:bCs w:val="1"/></w:rPr><w:t xml:space="preserve">Panduan Penggunaan / Cara Pakai:</w:t></w:r></w:p><w:p><w:pPr/><w:r><w:rPr><w:rFonts w:ascii="Calibri" w:hAnsi="Calibri" w:eastAsia="Calibri" w:cs="Calibri"/><w:sz w:val="21"/><w:szCs w:val="21"/></w:rPr><w:t xml:space="preserve">Saat Anda mengetik nominal uang pada form input SPK atau pembayaran cashflow, teks preview berformat Rupiah lengkap dengan titik pemisah ribuan (contoh: "Preview: Rp 150.000.000") akan otomatis muncul di bawah input field secara real-time.</w:t></w:r></w:p><w:p/><w:p><w:pPr/><w:r><w:pict><v:shape id="_x0000_s1092" type="#_x0000_t32" style="width:450pt; height:0.5pt; margin-left:0pt; margin-top:0pt; mso-position-horizontal:left; mso-position-vertical:top; mso-position-horizontal-relative:char; mso-position-vertical-relative:line;"><w10:wrap type="inline"/><v:stroke color="E0E0E0"/></v:shape></w:pic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Calibri" w:hAnsi="Calibri" w:eastAsia="Calibri" w:cs="Calibri"/>
      <w:color w:val="1B365D"/>
      <w:sz w:val="40"/>
      <w:szCs w:val="40"/>
      <w:b w:val="1"/>
      <w:bCs w:val="1"/>
    </w:rPr>
  </w:style>
  <w:style w:type="paragraph" w:styleId="Heading2">
    <w:link w:val="Heading2Char"/>
    <w:name w:val="heading 2"/>
    <w:basedOn w:val="Normal"/>
    <w:pPr>
      <w:spacing w:before="180" w:after="120"/>
    </w:pPr>
    <w:rPr>
      <w:rFonts w:ascii="Calibri" w:hAnsi="Calibri" w:eastAsia="Calibri" w:cs="Calibri"/>
      <w:color w:val="2B4C7E"/>
      <w:sz w:val="26"/>
      <w:szCs w:val="2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2026-07-16T17:42:31+00:00</dcterms:created>
  <dcterms:modified xsi:type="dcterms:W3CDTF">2026-07-16T17:42:31+00:00</dcterms:modified>
</cp:coreProperties>
</file>

<file path=docProps/custom.xml><?xml version="1.0" encoding="utf-8"?>
<Properties xmlns="http://schemas.openxmlformats.org/officeDocument/2006/custom-properties" xmlns:vt="http://schemas.openxmlformats.org/officeDocument/2006/docPropsVTypes"/>
</file>