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66" w:rsidRP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bookmarkStart w:id="0" w:name="_GoBack"/>
      <w:bookmarkEnd w:id="0"/>
      <w:r w:rsidRPr="00DD7C66">
        <w:rPr>
          <w:rFonts w:cstheme="minorHAnsi"/>
          <w:b/>
        </w:rPr>
        <w:t>PRIORIZACIÓN DE REQUISITOS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>Para la priorización de los requisitos se llevó a cabo otra reunión donde estaban</w:t>
      </w:r>
      <w:r>
        <w:rPr>
          <w:rFonts w:cstheme="minorHAnsi"/>
        </w:rPr>
        <w:t xml:space="preserve"> </w:t>
      </w:r>
      <w:r w:rsidRPr="00AF36E0">
        <w:rPr>
          <w:rFonts w:cstheme="minorHAnsi"/>
        </w:rPr>
        <w:t>presentes las siguientes personas: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>• Juan, un agente de viajes.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>• Sonia, directora de marketing.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>• Dolores, propietaria de una agencia.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>• Ramón, ingeniero de requisitos.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Ramón les dijo, “queremos hacer un </w:t>
      </w:r>
      <w:r w:rsidRPr="00AF36E0">
        <w:rPr>
          <w:rFonts w:cstheme="minorHAnsi"/>
          <w:b/>
        </w:rPr>
        <w:t>desarrollo incremental</w:t>
      </w:r>
      <w:r w:rsidRPr="00AF36E0">
        <w:rPr>
          <w:rFonts w:cstheme="minorHAnsi"/>
        </w:rPr>
        <w:t>. Por lo tanto, queremos</w:t>
      </w:r>
      <w:r>
        <w:rPr>
          <w:rFonts w:cstheme="minorHAnsi"/>
        </w:rPr>
        <w:t xml:space="preserve"> </w:t>
      </w:r>
      <w:r w:rsidRPr="00AF36E0">
        <w:rPr>
          <w:rFonts w:cstheme="minorHAnsi"/>
        </w:rPr>
        <w:t xml:space="preserve">empezar por las funcionalidades más importantes. </w:t>
      </w:r>
      <w:r>
        <w:rPr>
          <w:rFonts w:cstheme="minorHAnsi"/>
        </w:rPr>
        <w:t>Le</w:t>
      </w:r>
      <w:r w:rsidRPr="00AF36E0">
        <w:rPr>
          <w:rFonts w:cstheme="minorHAnsi"/>
        </w:rPr>
        <w:t>s propongo aplicar</w:t>
      </w:r>
      <w:r>
        <w:rPr>
          <w:rFonts w:cstheme="minorHAnsi"/>
        </w:rPr>
        <w:t xml:space="preserve"> </w:t>
      </w:r>
      <w:r w:rsidRPr="00AF36E0">
        <w:rPr>
          <w:rFonts w:cstheme="minorHAnsi"/>
        </w:rPr>
        <w:t>la técnica de los 100 dólares para que tengamos una idea de cuáles son estas</w:t>
      </w:r>
      <w:r>
        <w:rPr>
          <w:rFonts w:cstheme="minorHAnsi"/>
        </w:rPr>
        <w:t xml:space="preserve"> </w:t>
      </w:r>
      <w:r w:rsidRPr="00AF36E0">
        <w:rPr>
          <w:rFonts w:cstheme="minorHAnsi"/>
        </w:rPr>
        <w:t>funcionalidades más críticas. Por si no la conoc</w:t>
      </w:r>
      <w:r>
        <w:rPr>
          <w:rFonts w:cstheme="minorHAnsi"/>
        </w:rPr>
        <w:t>en</w:t>
      </w:r>
      <w:r w:rsidRPr="00AF36E0">
        <w:rPr>
          <w:rFonts w:cstheme="minorHAnsi"/>
        </w:rPr>
        <w:t>, la técnica de los 100 dólares</w:t>
      </w:r>
      <w:r>
        <w:rPr>
          <w:rFonts w:cstheme="minorHAnsi"/>
        </w:rPr>
        <w:t xml:space="preserve"> </w:t>
      </w:r>
      <w:r w:rsidRPr="00AF36E0">
        <w:rPr>
          <w:rFonts w:cstheme="minorHAnsi"/>
        </w:rPr>
        <w:t xml:space="preserve">consiste en que cada uno de </w:t>
      </w:r>
      <w:r>
        <w:rPr>
          <w:rFonts w:cstheme="minorHAnsi"/>
        </w:rPr>
        <w:t>ustedes</w:t>
      </w:r>
      <w:r w:rsidRPr="00AF36E0">
        <w:rPr>
          <w:rFonts w:cstheme="minorHAnsi"/>
        </w:rPr>
        <w:t xml:space="preserve"> tiene 100 dólares de presupuesto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gramStart"/>
      <w:r w:rsidRPr="00AF36E0">
        <w:rPr>
          <w:rFonts w:cstheme="minorHAnsi"/>
        </w:rPr>
        <w:t>que</w:t>
      </w:r>
      <w:proofErr w:type="gramEnd"/>
      <w:r w:rsidRPr="00AF36E0">
        <w:rPr>
          <w:rFonts w:cstheme="minorHAnsi"/>
        </w:rPr>
        <w:t xml:space="preserve"> puede repartir como quiera entre las diferentes funcionalidades. Al final</w:t>
      </w:r>
      <w:r>
        <w:rPr>
          <w:rFonts w:cstheme="minorHAnsi"/>
        </w:rPr>
        <w:t xml:space="preserve">  </w:t>
      </w:r>
      <w:r w:rsidRPr="00AF36E0">
        <w:rPr>
          <w:rFonts w:cstheme="minorHAnsi"/>
        </w:rPr>
        <w:t xml:space="preserve">sumaremos el </w:t>
      </w:r>
      <w:r>
        <w:rPr>
          <w:rFonts w:cstheme="minorHAnsi"/>
        </w:rPr>
        <w:t>valor</w:t>
      </w:r>
      <w:r w:rsidRPr="00AF36E0">
        <w:rPr>
          <w:rFonts w:cstheme="minorHAnsi"/>
        </w:rPr>
        <w:t xml:space="preserve"> asignado a cada funcionalidad y las ordenaremos por</w:t>
      </w:r>
      <w:r>
        <w:rPr>
          <w:rFonts w:cstheme="minorHAnsi"/>
        </w:rPr>
        <w:t xml:space="preserve"> </w:t>
      </w:r>
      <w:r w:rsidRPr="00AF36E0">
        <w:rPr>
          <w:rFonts w:cstheme="minorHAnsi"/>
        </w:rPr>
        <w:t>puntos. Las funcionalidades a considerar son: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1: </w:t>
      </w:r>
      <w:r>
        <w:rPr>
          <w:rFonts w:cstheme="minorHAnsi"/>
        </w:rPr>
        <w:t>V</w:t>
      </w:r>
      <w:r w:rsidRPr="00AF36E0">
        <w:rPr>
          <w:rFonts w:cstheme="minorHAnsi"/>
        </w:rPr>
        <w:t>er la información que hay sobre un destino</w:t>
      </w:r>
      <w:r>
        <w:rPr>
          <w:rFonts w:cstheme="minorHAnsi"/>
        </w:rPr>
        <w:t xml:space="preserve"> (perfil cliente)</w:t>
      </w:r>
      <w:r w:rsidRPr="00AF36E0">
        <w:rPr>
          <w:rFonts w:cstheme="minorHAnsi"/>
        </w:rPr>
        <w:t>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2: </w:t>
      </w:r>
      <w:r>
        <w:rPr>
          <w:rFonts w:cstheme="minorHAnsi"/>
        </w:rPr>
        <w:t>A</w:t>
      </w:r>
      <w:r w:rsidRPr="00AF36E0">
        <w:rPr>
          <w:rFonts w:cstheme="minorHAnsi"/>
        </w:rPr>
        <w:t>ñadir una opinión sobre un destino</w:t>
      </w:r>
      <w:r>
        <w:rPr>
          <w:rFonts w:cstheme="minorHAnsi"/>
        </w:rPr>
        <w:t xml:space="preserve"> (</w:t>
      </w:r>
      <w:r w:rsidRPr="00AF36E0">
        <w:rPr>
          <w:rFonts w:cstheme="minorHAnsi"/>
        </w:rPr>
        <w:t>agente de viajes</w:t>
      </w:r>
      <w:r>
        <w:rPr>
          <w:rFonts w:cstheme="minorHAnsi"/>
        </w:rPr>
        <w:t>)</w:t>
      </w:r>
      <w:r w:rsidRPr="00AF36E0">
        <w:rPr>
          <w:rFonts w:cstheme="minorHAnsi"/>
        </w:rPr>
        <w:t>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3: </w:t>
      </w:r>
      <w:r>
        <w:rPr>
          <w:rFonts w:cstheme="minorHAnsi"/>
        </w:rPr>
        <w:t>H</w:t>
      </w:r>
      <w:r w:rsidRPr="00AF36E0">
        <w:rPr>
          <w:rFonts w:cstheme="minorHAnsi"/>
        </w:rPr>
        <w:t>acer una pregunta sobre un destino</w:t>
      </w:r>
      <w:r>
        <w:rPr>
          <w:rFonts w:cstheme="minorHAnsi"/>
        </w:rPr>
        <w:t xml:space="preserve"> (cliente)</w:t>
      </w:r>
      <w:r w:rsidRPr="00AF36E0">
        <w:rPr>
          <w:rFonts w:cstheme="minorHAnsi"/>
        </w:rPr>
        <w:t>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4: </w:t>
      </w:r>
      <w:r>
        <w:rPr>
          <w:rFonts w:cstheme="minorHAnsi"/>
        </w:rPr>
        <w:t>R</w:t>
      </w:r>
      <w:r w:rsidRPr="00AF36E0">
        <w:rPr>
          <w:rFonts w:cstheme="minorHAnsi"/>
        </w:rPr>
        <w:t>ecibir una alerta cada vez que se publique nueva</w:t>
      </w:r>
      <w:r>
        <w:rPr>
          <w:rFonts w:cstheme="minorHAnsi"/>
        </w:rPr>
        <w:t xml:space="preserve"> </w:t>
      </w:r>
      <w:r w:rsidRPr="00AF36E0">
        <w:rPr>
          <w:rFonts w:cstheme="minorHAnsi"/>
        </w:rPr>
        <w:t>información sobre un destino</w:t>
      </w:r>
      <w:r>
        <w:rPr>
          <w:rFonts w:cstheme="minorHAnsi"/>
        </w:rPr>
        <w:t xml:space="preserve"> (cliente)</w:t>
      </w:r>
      <w:r w:rsidRPr="00AF36E0">
        <w:rPr>
          <w:rFonts w:cstheme="minorHAnsi"/>
        </w:rPr>
        <w:t>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5: </w:t>
      </w:r>
      <w:r>
        <w:rPr>
          <w:rFonts w:cstheme="minorHAnsi"/>
        </w:rPr>
        <w:t>S</w:t>
      </w:r>
      <w:r w:rsidRPr="00AF36E0">
        <w:rPr>
          <w:rFonts w:cstheme="minorHAnsi"/>
        </w:rPr>
        <w:t>olicitar un chat en directo con un agente de viajes</w:t>
      </w:r>
      <w:r>
        <w:rPr>
          <w:rFonts w:cstheme="minorHAnsi"/>
        </w:rPr>
        <w:t xml:space="preserve"> (cliente)</w:t>
      </w:r>
      <w:r w:rsidRPr="00AF36E0">
        <w:rPr>
          <w:rFonts w:cstheme="minorHAnsi"/>
        </w:rPr>
        <w:t>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6: </w:t>
      </w:r>
      <w:r>
        <w:rPr>
          <w:rFonts w:cstheme="minorHAnsi"/>
        </w:rPr>
        <w:t>H</w:t>
      </w:r>
      <w:r w:rsidRPr="00AF36E0">
        <w:rPr>
          <w:rFonts w:cstheme="minorHAnsi"/>
        </w:rPr>
        <w:t>acer una oferta de viaje a un destino concreto</w:t>
      </w:r>
      <w:r>
        <w:rPr>
          <w:rFonts w:cstheme="minorHAnsi"/>
        </w:rPr>
        <w:t xml:space="preserve"> (comercial)</w:t>
      </w:r>
      <w:r w:rsidRPr="00AF36E0">
        <w:rPr>
          <w:rFonts w:cstheme="minorHAnsi"/>
        </w:rPr>
        <w:t>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7: </w:t>
      </w:r>
      <w:r>
        <w:rPr>
          <w:rFonts w:cstheme="minorHAnsi"/>
        </w:rPr>
        <w:t>R</w:t>
      </w:r>
      <w:r w:rsidRPr="00AF36E0">
        <w:rPr>
          <w:rFonts w:cstheme="minorHAnsi"/>
        </w:rPr>
        <w:t>ecibir una alerta cuando haya una oferta de viaje a</w:t>
      </w:r>
      <w:r>
        <w:rPr>
          <w:rFonts w:cstheme="minorHAnsi"/>
        </w:rPr>
        <w:t xml:space="preserve"> </w:t>
      </w:r>
      <w:r w:rsidRPr="00AF36E0">
        <w:rPr>
          <w:rFonts w:cstheme="minorHAnsi"/>
        </w:rPr>
        <w:t>un destino concreto</w:t>
      </w:r>
      <w:r>
        <w:rPr>
          <w:rFonts w:cstheme="minorHAnsi"/>
        </w:rPr>
        <w:t xml:space="preserve"> (cliente)</w:t>
      </w:r>
      <w:r w:rsidRPr="00AF36E0">
        <w:rPr>
          <w:rFonts w:cstheme="minorHAnsi"/>
        </w:rPr>
        <w:t>.</w:t>
      </w:r>
    </w:p>
    <w:p w:rsidR="00DD7C66" w:rsidRPr="00AF36E0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8: </w:t>
      </w:r>
      <w:r>
        <w:rPr>
          <w:rFonts w:cstheme="minorHAnsi"/>
        </w:rPr>
        <w:t>P</w:t>
      </w:r>
      <w:r w:rsidRPr="00AF36E0">
        <w:rPr>
          <w:rFonts w:cstheme="minorHAnsi"/>
        </w:rPr>
        <w:t>oder hacer ofertas a usuarios concretos</w:t>
      </w:r>
      <w:r>
        <w:rPr>
          <w:rFonts w:cstheme="minorHAnsi"/>
        </w:rPr>
        <w:t xml:space="preserve"> (propietario de agencia)</w:t>
      </w:r>
      <w:r w:rsidRPr="00AF36E0">
        <w:rPr>
          <w:rFonts w:cstheme="minorHAnsi"/>
        </w:rPr>
        <w:t>.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F36E0">
        <w:rPr>
          <w:rFonts w:cstheme="minorHAnsi"/>
        </w:rPr>
        <w:t xml:space="preserve">9: </w:t>
      </w:r>
      <w:r>
        <w:rPr>
          <w:rFonts w:cstheme="minorHAnsi"/>
        </w:rPr>
        <w:t>S</w:t>
      </w:r>
      <w:r w:rsidRPr="00AF36E0">
        <w:rPr>
          <w:rFonts w:cstheme="minorHAnsi"/>
        </w:rPr>
        <w:t>olicitar un chat en directo con otros usuarios interesados</w:t>
      </w:r>
      <w:r>
        <w:rPr>
          <w:rFonts w:cstheme="minorHAnsi"/>
        </w:rPr>
        <w:t xml:space="preserve">  en el mismo destino (cliente).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  <w:r>
        <w:rPr>
          <w:rFonts w:cstheme="minorHAnsi"/>
        </w:rPr>
        <w:t xml:space="preserve">10: </w:t>
      </w:r>
      <w:r>
        <w:rPr>
          <w:rFonts w:ascii="ITCStoneSerifStdMedium" w:hAnsi="ITCStoneSerifStdMedium" w:cs="ITCStoneSerifStdMedium"/>
          <w:sz w:val="19"/>
          <w:szCs w:val="19"/>
        </w:rPr>
        <w:t>Comparar precios con otras agencias de viajes virtuales (cliente).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  <w:r>
        <w:rPr>
          <w:rFonts w:ascii="ITCStoneSerifStdMedium" w:hAnsi="ITCStoneSerifStdMedium" w:cs="ITCStoneSerifStdMedium"/>
          <w:sz w:val="19"/>
          <w:szCs w:val="19"/>
        </w:rPr>
        <w:t xml:space="preserve">Cada uno de los </w:t>
      </w:r>
      <w:proofErr w:type="spellStart"/>
      <w:r>
        <w:rPr>
          <w:rFonts w:ascii="ITCStoneSerifStdMedium" w:hAnsi="ITCStoneSerifStdMedium" w:cs="ITCStoneSerifStdMedium"/>
          <w:sz w:val="19"/>
          <w:szCs w:val="19"/>
        </w:rPr>
        <w:t>stakaholders</w:t>
      </w:r>
      <w:proofErr w:type="spellEnd"/>
      <w:r>
        <w:rPr>
          <w:rFonts w:ascii="ITCStoneSerifStdMedium" w:hAnsi="ITCStoneSerifStdMedium" w:cs="ITCStoneSerifStdMedium"/>
          <w:sz w:val="19"/>
          <w:szCs w:val="19"/>
        </w:rPr>
        <w:t xml:space="preserve"> entrega su lista, resumiéndose el resultado en la siguiente tabla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4"/>
        <w:gridCol w:w="725"/>
        <w:gridCol w:w="724"/>
        <w:gridCol w:w="725"/>
        <w:gridCol w:w="724"/>
        <w:gridCol w:w="725"/>
        <w:gridCol w:w="724"/>
        <w:gridCol w:w="725"/>
        <w:gridCol w:w="724"/>
        <w:gridCol w:w="725"/>
      </w:tblGrid>
      <w:tr w:rsidR="00DD7C66" w:rsidTr="009E2ED6">
        <w:tc>
          <w:tcPr>
            <w:tcW w:w="1809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4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2</w:t>
            </w:r>
          </w:p>
        </w:tc>
        <w:tc>
          <w:tcPr>
            <w:tcW w:w="724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3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4</w:t>
            </w:r>
          </w:p>
        </w:tc>
        <w:tc>
          <w:tcPr>
            <w:tcW w:w="724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5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6</w:t>
            </w:r>
          </w:p>
        </w:tc>
        <w:tc>
          <w:tcPr>
            <w:tcW w:w="724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7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8</w:t>
            </w:r>
          </w:p>
        </w:tc>
        <w:tc>
          <w:tcPr>
            <w:tcW w:w="724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9</w:t>
            </w:r>
          </w:p>
        </w:tc>
        <w:tc>
          <w:tcPr>
            <w:tcW w:w="725" w:type="dxa"/>
            <w:shd w:val="clear" w:color="auto" w:fill="D9D9D9" w:themeFill="background1" w:themeFillShade="D9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</w:t>
            </w:r>
          </w:p>
        </w:tc>
      </w:tr>
      <w:tr w:rsidR="00DD7C66" w:rsidTr="009E2ED6">
        <w:tc>
          <w:tcPr>
            <w:tcW w:w="1809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StoneSans" w:hAnsi="StoneSans" w:cs="StoneSans"/>
                <w:sz w:val="16"/>
                <w:szCs w:val="16"/>
              </w:rPr>
              <w:t xml:space="preserve">Juan 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100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</w:tr>
      <w:tr w:rsidR="00DD7C66" w:rsidTr="009E2ED6">
        <w:tc>
          <w:tcPr>
            <w:tcW w:w="1809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StoneSans" w:hAnsi="StoneSans" w:cs="StoneSans"/>
                <w:sz w:val="16"/>
                <w:szCs w:val="16"/>
              </w:rPr>
            </w:pPr>
            <w:r>
              <w:rPr>
                <w:rFonts w:ascii="StoneSans" w:hAnsi="StoneSans" w:cs="StoneSans"/>
                <w:sz w:val="16"/>
                <w:szCs w:val="16"/>
              </w:rPr>
              <w:t>Sonia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</w:t>
            </w: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</w:t>
            </w: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20</w:t>
            </w: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</w:t>
            </w: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10</w:t>
            </w: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</w:tr>
      <w:tr w:rsidR="00DD7C66" w:rsidTr="009E2ED6">
        <w:tc>
          <w:tcPr>
            <w:tcW w:w="1809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StoneSans" w:hAnsi="StoneSans" w:cs="StoneSans"/>
                <w:sz w:val="16"/>
                <w:szCs w:val="16"/>
              </w:rPr>
            </w:pPr>
            <w:r>
              <w:rPr>
                <w:rFonts w:ascii="StoneSans" w:hAnsi="StoneSans" w:cs="StoneSans"/>
                <w:sz w:val="16"/>
                <w:szCs w:val="16"/>
              </w:rPr>
              <w:t>Dolores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20</w:t>
            </w: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20</w:t>
            </w: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30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sz w:val="19"/>
                <w:szCs w:val="19"/>
              </w:rPr>
              <w:t>30</w:t>
            </w:r>
          </w:p>
        </w:tc>
        <w:tc>
          <w:tcPr>
            <w:tcW w:w="724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  <w:tc>
          <w:tcPr>
            <w:tcW w:w="725" w:type="dxa"/>
          </w:tcPr>
          <w:p w:rsidR="00DD7C66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sz w:val="19"/>
                <w:szCs w:val="19"/>
              </w:rPr>
            </w:pPr>
          </w:p>
        </w:tc>
      </w:tr>
      <w:tr w:rsidR="00DD7C66" w:rsidRPr="002742CE" w:rsidTr="009E2ED6">
        <w:tc>
          <w:tcPr>
            <w:tcW w:w="1809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StoneSans" w:hAnsi="StoneSans" w:cs="StoneSans"/>
                <w:b/>
                <w:sz w:val="16"/>
                <w:szCs w:val="16"/>
              </w:rPr>
            </w:pPr>
            <w:r w:rsidRPr="002742CE">
              <w:rPr>
                <w:rFonts w:ascii="StoneSans" w:hAnsi="StoneSans" w:cs="StoneSans"/>
                <w:b/>
                <w:sz w:val="16"/>
                <w:szCs w:val="16"/>
              </w:rPr>
              <w:t>TOTAL</w:t>
            </w:r>
          </w:p>
        </w:tc>
        <w:tc>
          <w:tcPr>
            <w:tcW w:w="72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30</w:t>
            </w:r>
          </w:p>
        </w:tc>
        <w:tc>
          <w:tcPr>
            <w:tcW w:w="725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110</w:t>
            </w:r>
          </w:p>
        </w:tc>
        <w:tc>
          <w:tcPr>
            <w:tcW w:w="72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30</w:t>
            </w:r>
          </w:p>
        </w:tc>
        <w:tc>
          <w:tcPr>
            <w:tcW w:w="725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10</w:t>
            </w:r>
          </w:p>
        </w:tc>
        <w:tc>
          <w:tcPr>
            <w:tcW w:w="72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20</w:t>
            </w:r>
          </w:p>
        </w:tc>
        <w:tc>
          <w:tcPr>
            <w:tcW w:w="725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40</w:t>
            </w:r>
          </w:p>
        </w:tc>
        <w:tc>
          <w:tcPr>
            <w:tcW w:w="72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10</w:t>
            </w:r>
          </w:p>
        </w:tc>
        <w:tc>
          <w:tcPr>
            <w:tcW w:w="725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40</w:t>
            </w:r>
          </w:p>
        </w:tc>
        <w:tc>
          <w:tcPr>
            <w:tcW w:w="72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10</w:t>
            </w:r>
          </w:p>
        </w:tc>
        <w:tc>
          <w:tcPr>
            <w:tcW w:w="725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ascii="ITCStoneSerifStdMedium" w:hAnsi="ITCStoneSerifStdMedium" w:cs="ITCStoneSerifStdMedium"/>
                <w:b/>
                <w:sz w:val="19"/>
                <w:szCs w:val="19"/>
              </w:rPr>
            </w:pPr>
            <w:r>
              <w:rPr>
                <w:rFonts w:ascii="ITCStoneSerifStdMedium" w:hAnsi="ITCStoneSerifStdMedium" w:cs="ITCStoneSerifStdMedium"/>
                <w:b/>
                <w:sz w:val="19"/>
                <w:szCs w:val="19"/>
              </w:rPr>
              <w:t>0</w:t>
            </w:r>
          </w:p>
        </w:tc>
      </w:tr>
    </w:tbl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  <w:r w:rsidRPr="002742CE">
        <w:rPr>
          <w:rFonts w:ascii="ITCStoneSerifStdMedium" w:hAnsi="ITCStoneSerifStdMedium" w:cs="ITCStoneSerifStdMedium"/>
          <w:sz w:val="19"/>
          <w:szCs w:val="19"/>
        </w:rPr>
        <w:t>En este caso, como Juan había puesto todos sus puntos en la misma funcionalidad,</w:t>
      </w:r>
      <w:r>
        <w:rPr>
          <w:rFonts w:ascii="ITCStoneSerifStdMedium" w:hAnsi="ITCStoneSerifStdMedium" w:cs="ITCStoneSerifStdMedium"/>
          <w:sz w:val="19"/>
          <w:szCs w:val="19"/>
        </w:rPr>
        <w:t xml:space="preserve"> </w:t>
      </w:r>
      <w:r w:rsidRPr="002742CE">
        <w:rPr>
          <w:rFonts w:ascii="ITCStoneSerifStdMedium" w:hAnsi="ITCStoneSerifStdMedium" w:cs="ITCStoneSerifStdMedium"/>
          <w:sz w:val="19"/>
          <w:szCs w:val="19"/>
        </w:rPr>
        <w:t>esta fue considerada la más prioritaria, mientras que Sonia, que aplicó la</w:t>
      </w:r>
      <w:r>
        <w:rPr>
          <w:rFonts w:ascii="ITCStoneSerifStdMedium" w:hAnsi="ITCStoneSerifStdMedium" w:cs="ITCStoneSerifStdMedium"/>
          <w:sz w:val="19"/>
          <w:szCs w:val="19"/>
        </w:rPr>
        <w:t xml:space="preserve"> </w:t>
      </w:r>
      <w:r w:rsidRPr="002742CE">
        <w:rPr>
          <w:rFonts w:ascii="ITCStoneSerifStdMedium" w:hAnsi="ITCStoneSerifStdMedium" w:cs="ITCStoneSerifStdMedium"/>
          <w:sz w:val="19"/>
          <w:szCs w:val="19"/>
        </w:rPr>
        <w:t>estrategia contraria (repartir al máximo su voto) se encontró con que su voto</w:t>
      </w:r>
      <w:r>
        <w:rPr>
          <w:rFonts w:ascii="ITCStoneSerifStdMedium" w:hAnsi="ITCStoneSerifStdMedium" w:cs="ITCStoneSerifStdMedium"/>
          <w:sz w:val="19"/>
          <w:szCs w:val="19"/>
        </w:rPr>
        <w:t xml:space="preserve"> </w:t>
      </w:r>
      <w:r w:rsidRPr="002742CE">
        <w:rPr>
          <w:rFonts w:ascii="ITCStoneSerifStdMedium" w:hAnsi="ITCStoneSerifStdMedium" w:cs="ITCStoneSerifStdMedium"/>
          <w:sz w:val="19"/>
          <w:szCs w:val="19"/>
        </w:rPr>
        <w:t>(por repartido) era prácticamente irrelevante.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</w:p>
    <w:p w:rsidR="00DD7C66" w:rsidRDefault="00DD7C66">
      <w:pPr>
        <w:rPr>
          <w:rFonts w:ascii="ITCStoneSerifStdMedium" w:hAnsi="ITCStoneSerifStdMedium" w:cs="ITCStoneSerifStdMedium"/>
          <w:sz w:val="19"/>
          <w:szCs w:val="19"/>
        </w:rPr>
      </w:pPr>
      <w:r>
        <w:rPr>
          <w:rFonts w:ascii="ITCStoneSerifStdMedium" w:hAnsi="ITCStoneSerifStdMedium" w:cs="ITCStoneSerifStdMedium"/>
          <w:sz w:val="19"/>
          <w:szCs w:val="19"/>
        </w:rPr>
        <w:br w:type="page"/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</w:p>
    <w:p w:rsidR="00DD7C66" w:rsidRDefault="00DD7C66" w:rsidP="00DD7C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SELEC</w:t>
      </w:r>
      <w:r w:rsidRPr="00EA36BF">
        <w:rPr>
          <w:rFonts w:cstheme="minorHAnsi"/>
          <w:b/>
        </w:rPr>
        <w:t>CIÓN DE REQUISITOS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ascii="ITCStoneSerifStdMedium" w:hAnsi="ITCStoneSerifStdMedium" w:cs="ITCStoneSerifStdMedium"/>
          <w:sz w:val="19"/>
          <w:szCs w:val="19"/>
        </w:rPr>
      </w:pP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Como el requisito 10 nadie lo votó, se saca de la lista de requisitos.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Finalmente la lista de requisitos priorizados, ordenados de mayor a menor prioridad queda como sigue: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654"/>
        <w:gridCol w:w="866"/>
      </w:tblGrid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nro</w:t>
            </w:r>
            <w:proofErr w:type="spellEnd"/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Descripción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Costo</w:t>
            </w:r>
          </w:p>
        </w:tc>
      </w:tr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742CE">
              <w:rPr>
                <w:rFonts w:cstheme="minorHAnsi"/>
              </w:rPr>
              <w:t>Añadir una opinión sobre un destino (agente de viajes).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742CE">
              <w:rPr>
                <w:rFonts w:cstheme="minorHAnsi"/>
              </w:rPr>
              <w:t>Hacer una oferta de viaje a un destino concreto (comercial).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742CE">
              <w:rPr>
                <w:rFonts w:cstheme="minorHAnsi"/>
              </w:rPr>
              <w:t>Poder hacer ofertas a usuarios concretos (propietario de agencia).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742CE">
              <w:rPr>
                <w:rFonts w:cstheme="minorHAnsi"/>
              </w:rPr>
              <w:t>Hacer una pregunta sobre un destino (cliente).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742CE">
              <w:rPr>
                <w:rFonts w:cstheme="minorHAnsi"/>
              </w:rPr>
              <w:t>Ver la información que hay sobre un destino (perfil cliente).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742CE">
              <w:rPr>
                <w:rFonts w:cstheme="minorHAnsi"/>
              </w:rPr>
              <w:t>Solicitar un chat en directo con un agente de viajes (cliente).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742CE">
              <w:rPr>
                <w:rFonts w:cstheme="minorHAnsi"/>
              </w:rPr>
              <w:t>Recibir una alerta cada vez que se publique nueva información sobre un destino (cliente).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742CE">
              <w:rPr>
                <w:rFonts w:cstheme="minorHAnsi"/>
              </w:rPr>
              <w:t>Recibir una alerta cuando haya una oferta de viaje a un destino concreto (cliente)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D7C66" w:rsidRPr="002742CE" w:rsidTr="009E2ED6">
        <w:tc>
          <w:tcPr>
            <w:tcW w:w="53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654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2742CE">
              <w:rPr>
                <w:rFonts w:cstheme="minorHAnsi"/>
              </w:rPr>
              <w:t>Solicitar un chat en directo con otros usuarios interesados  en el mismo destino (cliente).</w:t>
            </w:r>
          </w:p>
        </w:tc>
        <w:tc>
          <w:tcPr>
            <w:tcW w:w="866" w:type="dxa"/>
          </w:tcPr>
          <w:p w:rsidR="00DD7C66" w:rsidRPr="002742CE" w:rsidRDefault="00DD7C66" w:rsidP="009E2ED6">
            <w:pPr>
              <w:autoSpaceDE w:val="0"/>
              <w:autoSpaceDN w:val="0"/>
              <w:adjustRightInd w:val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Obs</w:t>
      </w:r>
      <w:proofErr w:type="spellEnd"/>
      <w:r>
        <w:rPr>
          <w:rFonts w:cstheme="minorHAnsi"/>
        </w:rPr>
        <w:t xml:space="preserve">: Para los requisitos con igual prioridad se debiese usar  otra técnica para establecer el orden 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00DD7C66" w:rsidRDefault="00DD7C66" w:rsidP="00DD7C6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DD7C66" w:rsidRDefault="00DD7C66" w:rsidP="00DD7C66">
      <w:pPr>
        <w:rPr>
          <w:rFonts w:cstheme="minorHAnsi"/>
        </w:rPr>
      </w:pPr>
    </w:p>
    <w:p w:rsidR="00317C14" w:rsidRDefault="00317C14"/>
    <w:sectPr w:rsidR="00317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StoneSerifStd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on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C0AF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C66"/>
    <w:rsid w:val="00317C14"/>
    <w:rsid w:val="005160F3"/>
    <w:rsid w:val="00771F31"/>
    <w:rsid w:val="00882E94"/>
    <w:rsid w:val="00DD7C66"/>
    <w:rsid w:val="00FC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66"/>
    <w:pPr>
      <w:ind w:left="720"/>
      <w:contextualSpacing/>
    </w:pPr>
  </w:style>
  <w:style w:type="table" w:styleId="TableGrid">
    <w:name w:val="Table Grid"/>
    <w:basedOn w:val="TableNormal"/>
    <w:uiPriority w:val="59"/>
    <w:rsid w:val="00DD7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66"/>
    <w:pPr>
      <w:ind w:left="720"/>
      <w:contextualSpacing/>
    </w:pPr>
  </w:style>
  <w:style w:type="table" w:styleId="TableGrid">
    <w:name w:val="Table Grid"/>
    <w:basedOn w:val="TableNormal"/>
    <w:uiPriority w:val="59"/>
    <w:rsid w:val="00DD7C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 ibacache</dc:creator>
  <cp:lastModifiedBy>delia ibacache</cp:lastModifiedBy>
  <cp:revision>1</cp:revision>
  <dcterms:created xsi:type="dcterms:W3CDTF">2019-10-07T16:47:00Z</dcterms:created>
  <dcterms:modified xsi:type="dcterms:W3CDTF">2019-10-07T16:48:00Z</dcterms:modified>
</cp:coreProperties>
</file>