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3M_SYSTEM  —  Changelog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Proyecto: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Lilis S.A. — Proveedor 3M / Solventum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Fecha: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05/03/2026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Versión: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1.0.0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Correcciones aplicadas en sesión de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200"/>
        <w:gridCol w:w="2430"/>
        <w:gridCol w:w="243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raíz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LANZADOR_3M.bat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no encontrado al ejecutar el .bat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Windows no incluye el PATH del usuario cuando ejecuta .bat como administrador o desde el Explorador. El alias 'python' del sistema redirige a la Microsoft Store.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reemplazaron todas las llamadas a python main.py por la ruta completa: "C:\Users\Claudio\AppData\Local\Python\bin\python.exe" main.py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config.py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sistema usaba SQLite en lugar de Access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variable ENVIRONMENT estaba en "development", lo que hacía que DB_TYPE = "sqlite" y creaba PO_Database_Dev.db en vez de conectar a PO_DataBase.accdb.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cambió ENVIRONMENT = "development" a ENVIRONMENT = "production" para activar el backend de Access.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access_connector.py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de sintaxis DDL: NOT NULL no soportado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driver ODBC de Microsoft Access (Jet SQL) no acepta la cláusula NOT NULL en sentencias CREATE TABLE ejecutadas via pyodbc. Error: -3553.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eliminó NOT NULL de los 10 campos que lo tenían en los DDL de las tablas T_3M_PO_HEADER, T_3M_PO_DETAIL, T_3M_INVOICE_HEADER, T_3M_INVOICE_DETAIL, T_3M_PLIST_HEADER, T_3M_PLIST_DETAIL, T_GECOM_FI, T_GECOM_FI_DETAIL, T_GECOM_RE y T_GECOM_RE_DETAIL.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access_connector.py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de sintaxis DDL: palabras reservadas de Access en nombres de campo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Campos como currency, order, date, value, carrier, incoterms son palabras reservadas en Jet SQL y causan error de sintaxis (-3553) si se usan sin escapar en CREATE TABLE.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encapsularon todos los nombres de campo de los DDL entre corchetes [ ] para escaparlos correctamente (ej: [currency], [order_date], [carrier]).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Resultado: </w:t>
      </w:r>
      <w:r>
        <w:rPr>
          <w:rFonts w:ascii="Arial" w:cs="Arial" w:eastAsia="Arial" w:hAnsi="Arial"/>
          <w:color w:val="375623"/>
          <w:sz w:val="19"/>
          <w:szCs w:val="19"/>
        </w:rPr>
        <w:t xml:space="preserve">Todas las tablas del 3M_SYSTEM fueron creadas correctamente en C:\EXTERIOR\PO_DataBase.accdb. El sistema quedó operativo para carga de documentos (FIREX, Invoice, Packing List, PO).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2026-03-06T00:25:11.123Z</dcterms:created>
  <dcterms:modified xsi:type="dcterms:W3CDTF">2026-03-06T00:25:11.124Z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