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Guía práctica RR.HH.: terminación de contrato y finiquito en Chile</w:t>
      </w:r>
    </w:p>
    <w:p>
      <w:pPr>
        <w:spacing w:after="240"/>
      </w:pPr>
      <w:r>
        <w:rPr>
          <w:color w:val="555555"/>
          <w:sz w:val="24"/>
        </w:rPr>
        <w:t>Enfoque para gerente de Recursos Humanos: causal, carta, pagos, ratificación, documentación y riesgos.</w:t>
      </w:r>
    </w:p>
    <w:p>
      <w:r>
        <w:rPr>
          <w:b/>
        </w:rPr>
        <w:t xml:space="preserve">Fecha de preparación: </w:t>
      </w:r>
      <w:r>
        <w:t xml:space="preserve">18 de junio de 2026. </w:t>
      </w:r>
      <w:r>
        <w:rPr>
          <w:b/>
        </w:rPr>
        <w:t xml:space="preserve">Jurisdicción: </w:t>
      </w:r>
      <w:r>
        <w:t xml:space="preserve">Chile. </w:t>
      </w:r>
      <w:r>
        <w:rPr>
          <w:b/>
        </w:rPr>
        <w:t xml:space="preserve">Fuente base: </w:t>
      </w:r>
      <w:hyperlink r:id="rId11">
        <w:r>
          <w:rPr>
            <w:color w:val="0563C1"/>
            <w:u w:val="single"/>
          </w:rPr>
          <w:t>Código del Trabajo vigente en Ley Chile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4F6F9"/>
            <w:tcBorders>
              <w:top w:val="single" w:sz="8" w:color="AAB7C4"/>
              <w:left w:val="single" w:sz="8" w:color="AAB7C4"/>
              <w:bottom w:val="single" w:sz="8" w:color="AAB7C4"/>
              <w:right w:val="single" w:sz="8" w:color="AAB7C4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Resumen ejecutivo para RR.HH.</w:t>
            </w:r>
          </w:p>
          <w:p>
            <w:pPr>
              <w:spacing w:after="0" w:line="264" w:lineRule="auto"/>
            </w:pPr>
            <w:r>
              <w:t>Antes de comunicar un despido, la empresa debe elegir una causal legal defendible, preparar carta con hechos y montos, verificar cotizaciones previsionales pagadas, calcular todos los haberes del finiquito y poner el documento y pago a disposición dentro del plazo legal. La causal más común para una desvinculación no disciplinaria es necesidades de la empresa; exige mayor soporte documental y normalmente gatilla indemnización por años de servicio si el contrato tiene un año o más.</w:t>
            </w:r>
          </w:p>
        </w:tc>
      </w:tr>
    </w:tbl>
    <w:p/>
    <w:p>
      <w:pPr>
        <w:pStyle w:val="Heading1"/>
      </w:pPr>
      <w:r>
        <w:t>1. Marco legal aplicable</w:t>
      </w:r>
    </w:p>
    <w:p>
      <w:r>
        <w:rPr>
          <w:b/>
        </w:rPr>
        <w:t xml:space="preserve">El término del contrato de trabajo en Chile debe fundarse en una causal legal. </w:t>
      </w:r>
      <w:r>
        <w:t>Las causales principales están en los artículos 159, 160 y 161 del Código del Trabajo. La carta de aviso, cotizaciones, indemnizaciones y finiquito se regulan principalmente en los artículos 162, 163, 168, 172, 173 y 177.</w:t>
      </w:r>
      <w:r>
        <w:t xml:space="preserve"> Ver: </w:t>
      </w:r>
      <w:hyperlink r:id="rId11">
        <w:r>
          <w:rPr>
            <w:color w:val="0563C1"/>
            <w:u w:val="single"/>
          </w:rPr>
          <w:t>Código del Trabajo — Biblioteca del Congreso Nacional</w:t>
        </w:r>
      </w:hyperlink>
      <w:r>
        <w:t xml:space="preserve"> y </w:t>
      </w:r>
      <w:hyperlink r:id="rId12">
        <w:r>
          <w:rPr>
            <w:color w:val="0563C1"/>
            <w:u w:val="single"/>
          </w:rPr>
          <w:t>Guía Ley Fácil BCN sobre término de contrato</w:t>
        </w:r>
      </w:hyperlink>
      <w:r>
        <w:t>.</w:t>
      </w:r>
    </w:p>
    <w:p>
      <w:pPr>
        <w:pStyle w:val="ListBullet"/>
        <w:spacing w:after="80"/>
      </w:pPr>
      <w:r>
        <w:t>Artículo 159: causales objetivas o acordadas, como mutuo acuerdo, renuncia, vencimiento de plazo, conclusión de obra o caso fortuito/fuerza mayor.</w:t>
      </w:r>
    </w:p>
    <w:p>
      <w:pPr>
        <w:pStyle w:val="ListBullet"/>
        <w:spacing w:after="80"/>
      </w:pPr>
      <w:r>
        <w:t>Artículo 160: causales disciplinarias graves, sin derecho a indemnización legal por años de servicio, pero con alto riesgo si los hechos no están bien acreditados.</w:t>
      </w:r>
    </w:p>
    <w:p>
      <w:pPr>
        <w:pStyle w:val="ListBullet"/>
        <w:spacing w:after="80"/>
      </w:pPr>
      <w:r>
        <w:t>Artículo 161: necesidades de la empresa, establecimiento o servicio; y desahucio para ciertos cargos de representación, confianza o casa particular.</w:t>
      </w:r>
    </w:p>
    <w:p>
      <w:pPr>
        <w:pStyle w:val="ListBullet"/>
        <w:spacing w:after="80"/>
      </w:pPr>
      <w:r>
        <w:t>Artículo 177: finiquito escrito, ratificación ante ministro de fe o vía electrónica DT, plazo de 10 días hábiles para ponerlo y pagar a disposición del trabajador.</w:t>
      </w:r>
    </w:p>
    <w:p>
      <w:pPr>
        <w:pStyle w:val="Heading1"/>
      </w:pPr>
      <w:r>
        <w:t>2. Sector privado vs. sector público: no siempre aplica el mismo régimen</w:t>
      </w:r>
    </w:p>
    <w:p>
      <w:r>
        <w:rPr>
          <w:b/>
        </w:rPr>
        <w:t xml:space="preserve">La guía anterior aplica principalmente a trabajadores regidos por el Código del Trabajo, típico de empresas privadas. </w:t>
      </w:r>
      <w:r>
        <w:t>En organismos públicos, municipalidades, corporaciones públicas o empresas del Estado, RR.HH. debe verificar primero la calidad jurídica de la persona: planta, contrata, Código del Trabajo u honorarios. Esa clasificación cambia la causal, el procedimiento, la autoridad competente y las prestaciones de salida.</w:t>
      </w:r>
      <w:r>
        <w:t xml:space="preserve"> Ver: </w:t>
      </w:r>
      <w:hyperlink r:id="rId13">
        <w:r>
          <w:rPr>
            <w:color w:val="0563C1"/>
            <w:u w:val="single"/>
          </w:rPr>
          <w:t>Estatuto Administrativo</w:t>
        </w:r>
      </w:hyperlink>
      <w:r>
        <w:t xml:space="preserve">, </w:t>
      </w:r>
      <w:hyperlink r:id="rId14">
        <w:r>
          <w:rPr>
            <w:color w:val="0563C1"/>
            <w:u w:val="single"/>
          </w:rPr>
          <w:t>Estatuto Administrativo Municipal</w:t>
        </w:r>
      </w:hyperlink>
      <w:r>
        <w:t xml:space="preserve"> y </w:t>
      </w:r>
      <w:hyperlink r:id="rId15">
        <w:r>
          <w:rPr>
            <w:color w:val="0563C1"/>
            <w:u w:val="single"/>
          </w:rPr>
          <w:t>criterio DT sobre honorarios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60"/>
        <w:gridCol w:w="2520"/>
        <w:gridCol w:w="2808"/>
        <w:gridCol w:w="1656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Tipo de vínculo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Normativa usual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Cómo termina / qué revisar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¿Finiquito laboral?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Empresa privada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Código del Trabajo y contrato individual/colectivo.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Aplicar causales arts. 159, 160, 161 o 163 bis; carta, cotizaciones y finiquito.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Sí, conforme art. 177.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Empresa pública o entidad estatal con personal Código del Trabajo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Código del Trabajo, más normas especiales internas si existen.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 principio se liquida como privado, pero revisar normas especiales, autorizaciones y políticas públicas.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Sí, si el vínculo es laboral.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Funcionario público de planta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Estatuto Administrativo u otro estatuto especial.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 trata como despido privado. Revisar cesación de funciones, sumario, salud incompatible, jubilación, renuncia, supresión del empleo u otra causal estatutaria.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usar modelo privado sin revisión.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Funcionario a contrata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Estatuto Administrativo / municipal / especial.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Revisar vencimiento, no renovación, confianza legítima, motivación del acto administrativo y jurisprudencia administrativa/judicial.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necesariamente; depende del régimen.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Honorarios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 civil/administrativo de prestación de servicios.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rige por el contrato. Si en los hechos hay subordinación y dependencia, puede discutirse judicialmente existencia de relación laboral.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No, salvo declaración laboral o acuerdo.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EEF6FF"/>
            <w:tcBorders>
              <w:top w:val="single" w:sz="8" w:color="7AA7D9"/>
              <w:left w:val="single" w:sz="8" w:color="7AA7D9"/>
              <w:bottom w:val="single" w:sz="8" w:color="7AA7D9"/>
              <w:right w:val="single" w:sz="8" w:color="7AA7D9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Regla práctica</w:t>
            </w:r>
          </w:p>
          <w:p>
            <w:pPr>
              <w:spacing w:after="0" w:line="264" w:lineRule="auto"/>
            </w:pPr>
            <w:r>
              <w:t>Antes de calcular cualquier finiquito, RR.HH. debe contestar: ¿esta persona está regida por Código del Trabajo, por un estatuto público o por honorarios? Si la respuesta no es Código del Trabajo, el cálculo privado puede ser equivocado.</w:t>
            </w:r>
          </w:p>
        </w:tc>
      </w:tr>
    </w:tbl>
    <w:p/>
    <w:p>
      <w:pPr>
        <w:pStyle w:val="Heading1"/>
      </w:pPr>
      <w:r>
        <w:t>3. Decisión inicial: escoger la causal correcta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28"/>
        <w:gridCol w:w="2880"/>
        <w:gridCol w:w="2088"/>
        <w:gridCol w:w="2520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Causal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Cuándo usarla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Indemnización legal típica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Riesgo de RR.HH.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161 — necesidades de la empresa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Reestructuración, racionalización, modernización, baja de productividad o cambios de mercado/economía que hagan necesaria la separación.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Sí, si contrato ≥ 1 año: 30 días por año y fracción &gt; 6 meses, con tope legal.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Debe existir soporte real y contemporáneo. Si se declara improcedente, recargo de 30% sobre IAS.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160 — disciplinaria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Falta de probidad, acoso, injurias, ausencia injustificada, abandono, actos temerarios, daño intencional, incumplimiento grave.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No, salvo que se declare injustificada/indebida.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Muy alto: requiere prueba concreta y proporcionalidad. Si se declara indebida, recargo de 80%.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159 N°4/N°5 — plazo u obra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Vence plazo fijo válido o concluye obra/servicio que originó el contrato.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 obra/faena puede existir indemnización especial de 2,5 días por mes, si aplica.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Cuidar renovaciones y continuidad: pueden transformar relación en indefinida.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Mutuo acuerdo / renuncia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Solo cuando hay consentimiento real y formal del trabajador.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 pactado y haberes devengados; no IAS legal salvo pacto.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presiones. Debe constar por escrito y ratificarse.</w:t>
            </w:r>
          </w:p>
        </w:tc>
      </w:tr>
    </w:tbl>
    <w:p>
      <w:pPr>
        <w:pStyle w:val="Heading1"/>
      </w:pPr>
      <w:r>
        <w:t>4. Carta de aviso de despido: contenido y plazos</w:t>
      </w:r>
    </w:p>
    <w:p>
      <w:r>
        <w:rPr>
          <w:b/>
        </w:rPr>
        <w:t xml:space="preserve">La carta debe ser entregada personalmente o enviada por carta certificada al domicilio del contrato, con copia a la Inspección del Trabajo. </w:t>
      </w:r>
      <w:r>
        <w:t>Debe indicar causal legal, hechos, montos de indemnización si corresponde, estado de cotizaciones y modalidad de finiquito.</w:t>
      </w:r>
      <w:r>
        <w:t xml:space="preserve"> Desde el lado del empleador, el objetivo no es solo pagar el monto correcto: también es demostrar por qué cada partida fue tratada como imponible, tributable, no renta, reembolso o descuento.</w:t>
      </w:r>
      <w:r>
        <w:t xml:space="preserve"> Referencias: </w:t>
      </w:r>
      <w:hyperlink r:id="rId16">
        <w:r>
          <w:rPr>
            <w:color w:val="0563C1"/>
            <w:u w:val="single"/>
          </w:rPr>
          <w:t>ChileAtiende — carta electrónica de aviso de despido</w:t>
        </w:r>
      </w:hyperlink>
      <w:r>
        <w:t xml:space="preserve">; </w:t>
      </w:r>
      <w:hyperlink r:id="rId12">
        <w:r>
          <w:rPr>
            <w:color w:val="0563C1"/>
            <w:u w:val="single"/>
          </w:rPr>
          <w:t>BCN Ley Fácil</w:t>
        </w:r>
      </w:hyperlink>
      <w:r>
        <w:t>.</w:t>
      </w:r>
    </w:p>
    <w:p>
      <w:pPr>
        <w:pStyle w:val="ListBullet"/>
        <w:spacing w:after="80"/>
      </w:pPr>
      <w:r>
        <w:t>Necesidades de la empresa o desahucio: aviso con al menos 30 días de anticipación. Si no se da ese aviso, corresponde pagar indemnización sustitutiva del aviso previo equivalente a una última remuneración mensual.</w:t>
      </w:r>
    </w:p>
    <w:p>
      <w:pPr>
        <w:pStyle w:val="ListBullet"/>
        <w:spacing w:after="80"/>
      </w:pPr>
      <w:r>
        <w:t>Causales disciplinarias del artículo 160 y vencimiento de plazo/conclusión de obra: comunicación dentro de 3 días hábiles desde la separación.</w:t>
      </w:r>
    </w:p>
    <w:p>
      <w:pPr>
        <w:pStyle w:val="ListBullet"/>
        <w:spacing w:after="80"/>
      </w:pPr>
      <w:r>
        <w:t>Caso fortuito o fuerza mayor: comunicación dentro de 6 días hábiles.</w:t>
      </w:r>
    </w:p>
    <w:p>
      <w:pPr>
        <w:pStyle w:val="ListBullet"/>
        <w:spacing w:after="80"/>
      </w:pPr>
      <w:r>
        <w:t>La carta por artículo 161 debe indicar el monto total a pagar por indemnización por años de servicio cuando corresponda.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FF7E6"/>
            <w:tcBorders>
              <w:top w:val="single" w:sz="8" w:color="C9A227"/>
              <w:left w:val="single" w:sz="8" w:color="C9A227"/>
              <w:bottom w:val="single" w:sz="8" w:color="C9A227"/>
              <w:right w:val="single" w:sz="8" w:color="C9A227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Control previo indispensable: cotizaciones</w:t>
            </w:r>
          </w:p>
          <w:p>
            <w:pPr>
              <w:spacing w:after="0" w:line="264" w:lineRule="auto"/>
            </w:pPr>
            <w:r>
              <w:t>Antes de despedir, RR.HH. debe obtener certificados o planillas que acrediten pago íntegro de cotizaciones previsionales, salud y seguro de cesantía hasta el último día del mes anterior al despido. Si existen cotizaciones impagas, el despido puede no producir el efecto de terminar el contrato y generar remuneraciones posteriores hasta la convalidación.</w:t>
            </w:r>
          </w:p>
        </w:tc>
      </w:tr>
    </w:tbl>
    <w:p/>
    <w:p>
      <w:pPr>
        <w:pStyle w:val="Heading1"/>
      </w:pPr>
      <w:r>
        <w:t>5. Pagos que normalmente debe considerar el finiquito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80"/>
        <w:gridCol w:w="4320"/>
        <w:gridCol w:w="1872"/>
      </w:tblGrid>
      <w:tr>
        <w:trPr>
          <w:tblHeader w:val="true"/>
        </w:trP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Concepto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Regla práctica de cálculo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Base/fuente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Remuneraciones pendientes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Sueldo, comisiones, bonos mensuales y otros haberes devengados hasta el último día trabajado, según contrato y liquidaciones.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 / liquidaciones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Indemnización sustitutiva del aviso previo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 última remuneración mensual si se usa art. 161/desahucio sin aviso de 30 días.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Arts. 161 y 162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Indemnización por años de servicio (IAS)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 contrato ≥ 1 año y causal art. 161: 30 días de última remuneración mensual por cada año de servicio y fracción superior a 6 meses; tope 330 días.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163 / DT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Vacaciones pendientes / feriado legal acumulado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Días de vacaciones devengadas, vencidas o acumuladas y no usadas. Deben valorizarse conforme remuneración íntegra y pagarse en el finiquito.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Arts. 67, 71, 73 / DT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Feriado proporcional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Días hábiles proporcionales desde la contratación o última anualidad hasta término, agregando sábados, domingos y festivos que incidan.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73 / DT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Cotizaciones previsionales y seguridad social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AFP o IPS/antiguo sistema, salud Fonasa/Isapre, AFC/seguro de cesantía y mutualidad/seguro social según corresponda. Deben estar declaradas y pagadas hasta el mes anterior; sobre remuneraciones pendientes afectas se calculan y enteran según reglas previsionales.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162 / Art. 177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Indemnización especial obra/faena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 contrato por obra/faena termina por conclusión del trabajo y aplica art. 159 N°5: 2,5 días de remuneración por mes trabajado y fracción superior a 15 días.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Art. 163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Otras prestaciones pendientes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Bonos devengados o proporcionales, comisiones, gratificación mensual o anual pendiente, asignaciones pactadas, horas extraordinarias autorizadas, beneficios colectivos o contractuales.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 / anexos / CCT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Reembolsos pendientes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Gastos de viaje, alojamiento, alimentación, transporte, caja chica, rendiciones aprobadas, herramientas o gastos incurridos por cuenta de la empresa. Deben respaldarse con comprobantes y política interna.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Rendiciones / política interna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Otros pactos o beneficios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Indemnización convencional, bonos de salida, pactos colectivos, cláusulas de no competencia, confidencialidad o beneficios especiales de término.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 / anexos / CCT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Descuentos legales/autorizados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Anticipos, préstamos válidos, retenciones judiciales, impuestos o cotizaciones pendientes, siempre con soporte legal o autorización suficiente.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 concreto</w:t>
            </w:r>
          </w:p>
        </w:tc>
      </w:tr>
    </w:tbl>
    <w:p>
      <w:pPr>
        <w:pStyle w:val="Heading1"/>
      </w:pPr>
      <w:r>
        <w:t>6. Cómo calcular impuestos y monto neto a pagar</w:t>
      </w:r>
    </w:p>
    <w:p>
      <w:r>
        <w:rPr>
          <w:b/>
        </w:rPr>
        <w:t xml:space="preserve">El error más común es aplicar impuesto al total del finiquito. </w:t>
      </w:r>
      <w:r>
        <w:t>Para llegar al líquido del trabajador se debe separar cada partida entre: (i) haberes afectos a cotización/impuesto, (ii) indemnizaciones o compensaciones no constitutivas de renta, y (iii) descuentos legales o autorizados.</w:t>
      </w:r>
      <w:r>
        <w:t xml:space="preserve"> Referencias: </w:t>
      </w:r>
      <w:hyperlink r:id="rId17">
        <w:r>
          <w:rPr>
            <w:color w:val="0563C1"/>
            <w:u w:val="single"/>
          </w:rPr>
          <w:t>SII — vacaciones pagadas en finiquito</w:t>
        </w:r>
      </w:hyperlink>
      <w:r>
        <w:t xml:space="preserve">, </w:t>
      </w:r>
      <w:hyperlink r:id="rId18">
        <w:r>
          <w:rPr>
            <w:color w:val="0563C1"/>
            <w:u w:val="single"/>
          </w:rPr>
          <w:t>SII — desahucio/retiro e IUSC</w:t>
        </w:r>
      </w:hyperlink>
      <w:r>
        <w:t xml:space="preserve">, </w:t>
      </w:r>
      <w:hyperlink r:id="rId19">
        <w:r>
          <w:rPr>
            <w:color w:val="0563C1"/>
            <w:u w:val="single"/>
          </w:rPr>
          <w:t>SII — tabla IUSC 2026</w:t>
        </w:r>
      </w:hyperlink>
      <w:r>
        <w:t xml:space="preserve">, </w:t>
      </w:r>
      <w:hyperlink r:id="rId20">
        <w:r>
          <w:rPr>
            <w:color w:val="0563C1"/>
            <w:u w:val="single"/>
          </w:rPr>
          <w:t>SII — art. 178 Código del Trabajo</w:t>
        </w:r>
      </w:hyperlink>
      <w:r>
        <w:t xml:space="preserve"> y </w:t>
      </w:r>
      <w:hyperlink r:id="rId21">
        <w:r>
          <w:rPr>
            <w:color w:val="0563C1"/>
            <w:u w:val="single"/>
          </w:rPr>
          <w:t>SII — art. 17 N°13 LIR</w:t>
        </w:r>
      </w:hyperlink>
      <w:r>
        <w:t>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32"/>
        <w:gridCol w:w="1944"/>
        <w:gridCol w:w="3240"/>
        <w:gridCol w:w="1656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Partida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Tratamiento típico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Comentario práctico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Impacto en neto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Remuneración pendiente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Afecta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Sueldo, comisiones, semana corrida y bonos devengados suelen integrar remuneración imponible/tributable según corresponda.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 cotizaciones e IUSC.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Bonos proporcionales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Depende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Bono anual, desempeño, producción, permanencia, aguinaldo u otro bono debe revisarse según contrato, política o práctica: si está devengado/proporcional y remunera servicios, normalmente será afecto; si es mera liberalidad no devengada, puede no proceder.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Puede bajar líquido por cotizaciones/IUSC.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Reembolsos de gastos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remuneración si son reembolso real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Gastos de viaje, alojamiento, transporte o rendiciones contra comprobante normalmente no son remuneración ni indemnización; se pagan como devolución de gasto, si están aprobados y respaldados.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pagan líquidos si proceden.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Otras prestaciones devengadas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Depende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Gratificaciones, comisiones, asignaciones, beneficios en especie u otros pagos deben clasificarse por naturaleza: remuneración, indemnización, gasto o beneficio no renta.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Puede subir o bajar líquido.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Cotizaciones AFP/IPS, salud y AFC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son pago neto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se pagan al trabajador como líquido; se enteran a instituciones previsionales. Si hay remuneraciones afectas pendientes, deben calcularse las cotizaciones del trabajador y empleador según corresponda.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Reducen líquido de remuneraciones afectas.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IAS legal art. 163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renta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Indemnización legal por años de servicio: no constituye renta según art. 178, dentro de sus reglas legales.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paga bruta.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Aviso previo/desahucio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renta con tope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SII indica que desahucio/retiro no paga IUSC hasta un mes por año o fracción superior a seis meses; revisar topes y naturaleza.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Generalmente se paga bruta.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Vacaciones pendientes y feriado proporcional en finiquito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renta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SII indica que vacaciones pagadas por no uso al ser finiquitado son ingreso no constitutivo de renta.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paga bruta.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Indemnización convencional individual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Puede tener tratamiento distinto según origen, monto, contrato individual/colectivo y art. 17 N°13 LIR/art. 178.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Puede tener impuesto parcial.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Indemnización colectiva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renta si cumple art. 178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Pactada en contrato colectivo o convenio colectivo que complementa/modifica/reemplaza contrato colectivo.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paga bruta si califica.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Descuentos judiciales / anticipos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Descuento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Pensiones alimenticias, anticipos, préstamos u otros descuentos deben tener soporte legal o autorización.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Resta del líquido.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4F6F9"/>
            <w:tcBorders>
              <w:top w:val="single" w:sz="8" w:color="AAB7C4"/>
              <w:left w:val="single" w:sz="8" w:color="AAB7C4"/>
              <w:bottom w:val="single" w:sz="8" w:color="AAB7C4"/>
              <w:right w:val="single" w:sz="8" w:color="AAB7C4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Fórmula operativa para llegar al líquido</w:t>
            </w:r>
          </w:p>
          <w:p>
            <w:pPr>
              <w:spacing w:after="0" w:line="264" w:lineRule="auto"/>
            </w:pPr>
            <w:r>
              <w:t>1) Sumar haberes brutos del finiquito. 2) Clasificar cada partida como remuneración afecta, no renta, cotización/seguridad social, descuento u otra prestación. 3) Sobre remuneraciones afectas, calcular cotizaciones previsionales y de salud si proceden. 4) Determinar renta líquida imponible afecta a IUSC. 5) Aplicar la tabla SII del mes de pago: impuesto = renta líquida imponible × factor − cantidad a rebajar. 6) Monto líquido = partidas no renta + remuneraciones afectas netas + otras prestaciones líquidas − descuentos legales/autorizados.</w:t>
            </w:r>
          </w:p>
        </w:tc>
      </w:tr>
    </w:tbl>
    <w:p/>
    <w:p>
      <w:pPr>
        <w:pStyle w:val="Heading2"/>
      </w:pPr>
      <w:r>
        <w:t>6.1 Revisión tributaria desde el lado del empleador</w:t>
      </w:r>
    </w:p>
    <w:p>
      <w:r>
        <w:rPr>
          <w:b/>
        </w:rPr>
        <w:t xml:space="preserve">Criterio de control: </w:t>
      </w:r>
      <w:r>
        <w:t>RR.HH., remuneraciones y contabilidad deben cerrar una matriz única antes de pagar. Si la empresa clasifica mal una partida, puede generar diferencias de retención, cotizaciones impagas, multas, nulidad del despido o un reclamo posterior por pago insuficiente.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88"/>
        <w:gridCol w:w="2520"/>
        <w:gridCol w:w="3096"/>
        <w:gridCol w:w="1512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Tema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Riesgo tributario/previsional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Control recomendado para la empresa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6"/>
              </w:rPr>
              <w:t>Efecto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Remuneraciones pendientes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Subretener IUSC o no enterar cotizaciones.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Separar remuneraciones afectas; liquidar base imponible, cotizaciones trabajador/empleador e IUSC del mes de pago.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Menor líquido.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Indemnizaciones legales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Gravar indebidamente IAS/aviso legal o tratar como legal un exceso voluntario.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Documentar causal, años, base art. 172, topes y origen legal/contractual. Separar excesos.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Líquido bruto si califica.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Bonos proporcionales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Tratar como indemnización un bono que remunera servicios; o negar proporcionalidad reconocida.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Revisar contrato, política, KPI, devengo y práctica. Si remunera servicios y está devengado, suele ser afecto.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Puede reducir líquido.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Reembolsos de gastos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Disfrazar remuneración como reembolso o pagar sin respaldo.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Exigir rendición aprobada, comprobantes, política de viajes y vínculo con negocio. No mezclar con remuneración si es devolución real.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Líquido si procede.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Cotizaciones y seguridad social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Nulidad del despido o diferencias por AFC/SIS/cargo empleador.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Validar AFP/IPS, salud, AFC, mutualidad; recalcular sobre haberes afectos pendientes.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todo va al trabajador.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Descuentos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Descontar anticipos, préstamos o daños sin autorización.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Aplicar solo descuentos legales, judiciales o autorizados; guardar soporte.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Reduce líquido si es válido.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Fecha de pago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Usar tabla IUSC o UTM de otro período.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Aplicar tabla SII del mes de pago efectivo; revisar cuotas con asesoría específica.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Puede cambiar impuesto.</w:t>
            </w:r>
          </w:p>
        </w:tc>
      </w:tr>
    </w:tbl>
    <w:p>
      <w:r>
        <w:rPr>
          <w:b/>
        </w:rPr>
        <w:t xml:space="preserve">Cotizaciones a controlar en 2026: </w:t>
      </w:r>
      <w:r>
        <w:t xml:space="preserve">el seguro de cesantía se financia con 3% de la remuneración imponible; en contrato indefinido usualmente 0,6% es de cargo del trabajador y 2,4% de cargo del empleador, mientras que en plazo fijo/obra/faena el 3% es de cargo del empleador. Además, la Superintendencia de Pensiones informa la tasa SIS vigente y la nueva cotización de cargo del empleador derivada de la reforma previsional. Ver: </w:t>
      </w:r>
      <w:hyperlink r:id="rId22">
        <w:r>
          <w:rPr>
            <w:color w:val="0563C1"/>
            <w:u w:val="single"/>
          </w:rPr>
          <w:t>SP — seguro de cesantía</w:t>
        </w:r>
      </w:hyperlink>
      <w:r>
        <w:t xml:space="preserve">, </w:t>
      </w:r>
      <w:hyperlink r:id="rId23">
        <w:r>
          <w:rPr>
            <w:color w:val="0563C1"/>
            <w:u w:val="single"/>
          </w:rPr>
          <w:t>AFC — cotizaciones empleador</w:t>
        </w:r>
      </w:hyperlink>
      <w:r>
        <w:t xml:space="preserve">, </w:t>
      </w:r>
      <w:hyperlink r:id="rId24">
        <w:r>
          <w:rPr>
            <w:color w:val="0563C1"/>
            <w:u w:val="single"/>
          </w:rPr>
          <w:t>SP — SIS</w:t>
        </w:r>
      </w:hyperlink>
      <w:r>
        <w:t xml:space="preserve"> y </w:t>
      </w:r>
      <w:hyperlink r:id="rId25">
        <w:r>
          <w:rPr>
            <w:color w:val="0563C1"/>
            <w:u w:val="single"/>
          </w:rPr>
          <w:t>SP — cotización de cargo del empleador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Regla práctica de asesor tributario</w:t>
            </w:r>
          </w:p>
          <w:p>
            <w:pPr>
              <w:spacing w:after="0" w:line="264" w:lineRule="auto"/>
            </w:pPr>
            <w:r>
              <w:t>No calcular el finiquito como una sola suma. Preparar dos salidas: monto bruto jurídico-laboral por partida y liquidación tributaria/previsional por partida, dejando respaldo de naturaleza del pago, fuente contractual, cotizaciones, IUSC, descuentos y líquido transferible.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1944"/>
        <w:gridCol w:w="2160"/>
        <w:gridCol w:w="2376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Bloque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Ejemplo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Cálculo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Resultado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Partidas no renta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IAS + feriado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suman sin IUSC si califican.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Pasan al neto bruto.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Partidas afectas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Sueldo pendiente/bono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Aplicar cotizaciones e IUSC según tabla del mes.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Pasan al neto después de descuentos.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Cotizaciones y seguridad social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AFP/IPS, salud, AFC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Enterar a instituciones previsionales; no tratarlas como pago líquido al trabajador.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Reducen remuneración afecta neta.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Bonos proporcionales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Bono anual/desempeño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Determinar si está devengado y si procede proporcionalmente según contrato, política o práctica.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Puede ser afecto.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Reembolsos pendientes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Viajes/rendiciones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Pagar contra comprobantes aprobados; no mezclar con indemnizaciones ni remuneración si son devolución real de gasto.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 líquido si procede.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Otras prestaciones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Comisiones/gratificación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Clasificar por naturaleza antes de pagar: algunas son afectas, otras no renta o simples reembolsos.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Puede aumentar o reducir el líquido.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Descuentos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Anticipos/retenciones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Restar solo si proceden y están respaldados.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Reducen el pago final.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líquido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al trabajador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es igual al total bruto si hay partidas afectas o descuentos.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Monto a transferir.</w:t>
            </w:r>
          </w:p>
        </w:tc>
      </w:tr>
    </w:tbl>
    <w:p>
      <w:pPr>
        <w:pStyle w:val="Heading1"/>
      </w:pPr>
      <w:r>
        <w:t>7. Base de cálculo de indemnizaciones</w:t>
      </w:r>
    </w:p>
    <w:p>
      <w:r>
        <w:rPr>
          <w:b/>
        </w:rPr>
        <w:t xml:space="preserve">La base para IAS y aviso previo es la “última remuneración mensual” del artículo 172. </w:t>
      </w:r>
      <w:r>
        <w:t>Incluye cantidades mensuales que el trabajador percibe por sus servicios, incluidas imposiciones y regalías/especies avaluadas en dinero. Excluye asignación familiar, horas extraordinarias y beneficios esporádicos o de una sola vez al año. Existe además tope de 90 UF para la remuneración mensual base de estas indemnizaciones.</w:t>
      </w:r>
      <w:r>
        <w:t xml:space="preserve"> Ver: </w:t>
      </w:r>
      <w:hyperlink r:id="rId26">
        <w:r>
          <w:rPr>
            <w:color w:val="0563C1"/>
            <w:u w:val="single"/>
          </w:rPr>
          <w:t>DT — remuneraciones que deben considerarse</w:t>
        </w:r>
      </w:hyperlink>
      <w:r>
        <w:t xml:space="preserve"> y </w:t>
      </w:r>
      <w:hyperlink r:id="rId11">
        <w:r>
          <w:rPr>
            <w:color w:val="0563C1"/>
            <w:u w:val="single"/>
          </w:rPr>
          <w:t>Código del Trabajo art. 172</w:t>
        </w:r>
      </w:hyperlink>
      <w:r>
        <w:t>.</w:t>
      </w:r>
    </w:p>
    <w:p>
      <w:pPr>
        <w:pStyle w:val="ListBullet"/>
        <w:spacing w:after="80"/>
      </w:pPr>
      <w:r>
        <w:t>Remuneración fija: normalmente usar la última remuneración mensual completa anterior al despido.</w:t>
      </w:r>
    </w:p>
    <w:p>
      <w:pPr>
        <w:pStyle w:val="ListBullet"/>
        <w:spacing w:after="80"/>
      </w:pPr>
      <w:r>
        <w:t>Remuneración variable: usar promedio de los últimos 3 meses calendario completos anteriores al mes de despido.</w:t>
      </w:r>
    </w:p>
    <w:p>
      <w:pPr>
        <w:pStyle w:val="ListBullet"/>
        <w:spacing w:after="80"/>
      </w:pPr>
      <w:r>
        <w:t>Licencias médicas o permisos sin goce: si el mes no es completo, la DT indica retroceder hasta meses completos para la base de cálculo.</w:t>
      </w:r>
    </w:p>
    <w:p>
      <w:pPr>
        <w:pStyle w:val="ListBullet"/>
        <w:spacing w:after="80"/>
      </w:pPr>
      <w:r>
        <w:t>Pagos mensuales como comisiones, bonos mensuales, semana corrida, colación, movilización, cheques restaurant o viáticos mensuales pueden integrar la base, según criterio DT.</w:t>
      </w:r>
    </w:p>
    <w:p>
      <w:r>
        <w:t xml:space="preserve">Referencia adicional: </w:t>
      </w:r>
      <w:hyperlink r:id="rId27">
        <w:r>
          <w:rPr>
            <w:color w:val="0563C1"/>
            <w:u w:val="single"/>
          </w:rPr>
          <w:t>DT — base de cálculo cuando existe licencia médica</w:t>
        </w:r>
      </w:hyperlink>
      <w:r>
        <w:t>.</w:t>
      </w:r>
    </w:p>
    <w:p>
      <w:pPr>
        <w:pStyle w:val="Heading1"/>
      </w:pPr>
      <w:r>
        <w:t>8. Feriado legal y feriado proporcional</w:t>
      </w:r>
    </w:p>
    <w:p>
      <w:r>
        <w:rPr>
          <w:b/>
        </w:rPr>
        <w:t xml:space="preserve">El feriado debe pagarse cualquiera sea la causal de término si existen días devengados no usados. </w:t>
      </w:r>
      <w:r>
        <w:t>Para feriado proporcional, la DT explica que se divide el feriado anual por 12 para obtener días hábiles por mes trabajado; luego se multiplica por meses y fracción desde la contratación o última anualidad, y finalmente se cuenta en calendario agregando sábados, domingos y festivos incluidos en el período.</w:t>
      </w:r>
      <w:r>
        <w:t xml:space="preserve"> Ver: </w:t>
      </w:r>
      <w:hyperlink r:id="rId28">
        <w:r>
          <w:rPr>
            <w:color w:val="0563C1"/>
            <w:u w:val="single"/>
          </w:rPr>
          <w:t>DT — cálculo de feriado proporcional</w:t>
        </w:r>
      </w:hyperlink>
      <w:r>
        <w:t>.</w:t>
      </w:r>
    </w:p>
    <w:p>
      <w:pPr>
        <w:pStyle w:val="Heading1"/>
      </w:pPr>
      <w:r>
        <w:t>9. Puesta a disposición, firma y ratificación del finiquito</w:t>
      </w:r>
    </w:p>
    <w:p>
      <w:pPr>
        <w:pStyle w:val="ListBullet"/>
        <w:spacing w:after="80"/>
      </w:pPr>
      <w:r>
        <w:t>El finiquito debe otorgarse por escrito y ponerse su pago a disposición dentro de 10 días hábiles desde la separación del trabajador.</w:t>
      </w:r>
    </w:p>
    <w:p>
      <w:pPr>
        <w:pStyle w:val="ListBullet"/>
        <w:spacing w:after="80"/>
      </w:pPr>
      <w:r>
        <w:t>Debe ratificarse ante ministro de fe —Inspector del Trabajo, notario, oficial del Registro Civil o secretario municipal— o mediante el portal electrónico de la Dirección del Trabajo si el trabajador acepta usar esa vía.</w:t>
      </w:r>
    </w:p>
    <w:p>
      <w:pPr>
        <w:pStyle w:val="ListBullet"/>
        <w:spacing w:after="80"/>
      </w:pPr>
      <w:r>
        <w:t>La firma electrónica del finiquito en DT es facultativa para el trabajador. Si el trabajador rechaza la propuesta electrónica, el empleador debe poner a disposición el finiquito presencial.</w:t>
      </w:r>
    </w:p>
    <w:p>
      <w:pPr>
        <w:pStyle w:val="ListBullet"/>
        <w:spacing w:after="80"/>
      </w:pPr>
      <w:r>
        <w:t>El trabajador puede aceptar con reserva de derechos; esa reserva no impide pagar las sumas no discutidas.</w:t>
      </w:r>
    </w:p>
    <w:p>
      <w:pPr>
        <w:pStyle w:val="ListBullet"/>
        <w:spacing w:after="80"/>
      </w:pPr>
      <w:r>
        <w:t>Si se pactan cuotas, deben quedar expresadas fechas, montos, reajustes e intereses, y ser aceptadas por el trabajador.</w:t>
      </w:r>
    </w:p>
    <w:p>
      <w:r>
        <w:t xml:space="preserve">Referencia práctica: </w:t>
      </w:r>
      <w:hyperlink r:id="rId29">
        <w:r>
          <w:rPr>
            <w:color w:val="0563C1"/>
            <w:u w:val="single"/>
          </w:rPr>
          <w:t>DT — ratificación de un finiquito de trabajo</w:t>
        </w:r>
      </w:hyperlink>
      <w:r>
        <w:t xml:space="preserve">; </w:t>
      </w:r>
      <w:hyperlink r:id="rId30">
        <w:r>
          <w:rPr>
            <w:color w:val="0563C1"/>
            <w:u w:val="single"/>
          </w:rPr>
          <w:t>ChileAtiende — finiquito de término de contrato</w:t>
        </w:r>
      </w:hyperlink>
      <w:r>
        <w:t>.</w:t>
      </w:r>
    </w:p>
    <w:p>
      <w:pPr>
        <w:pStyle w:val="Heading1"/>
      </w:pPr>
      <w:r>
        <w:t>10. Riesgos de impugnación y recargos</w:t>
      </w:r>
    </w:p>
    <w:p>
      <w:r>
        <w:rPr>
          <w:b/>
        </w:rPr>
        <w:t xml:space="preserve">El trabajador puede demandar si estima que la causal fue injustificada, indebida o improcedente. </w:t>
      </w:r>
      <w:r>
        <w:t>El artículo 168 contempla un plazo de 60 días hábiles desde la separación y recargos sobre la indemnización por años de servicio, según la causal mal aplicada.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68"/>
        <w:gridCol w:w="3456"/>
        <w:gridCol w:w="2160"/>
      </w:tblGrid>
      <w:tr>
        <w:trPr>
          <w:tblHeader w:val="true"/>
        </w:trP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Situación declarada por tribunal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Efecto económico típico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Base legal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Artículo 161 improcedente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IAS aumentada en 30%.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168 a)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Artículo 159 injustificado o sin causal legal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IAS aumentada en 50%, si corresponde.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168 b)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Artículo 160 indebido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IAS aumentada en 80%, si corresponde.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168 c)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Cotizaciones impagas al despido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Riesgo de nulidad del despido y remuneraciones/prestaciones hasta convalidación.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162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Fuero laboral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autorización judicial previa en los casos permitidos; sin autorización, riesgo de reincorporación y pagos.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174</w:t>
            </w:r>
          </w:p>
        </w:tc>
      </w:tr>
    </w:tbl>
    <w:p>
      <w:pPr>
        <w:pStyle w:val="Heading1"/>
      </w:pPr>
      <w:r>
        <w:t>11. Casos judiciales relevantes y lecciones para RR.HH.</w:t>
      </w:r>
    </w:p>
    <w:p>
      <w:r>
        <w:rPr>
          <w:b/>
        </w:rPr>
        <w:t xml:space="preserve">Los casos muestran que el problema no es solo matemático. </w:t>
      </w:r>
      <w:r>
        <w:t>La forma de redactar el finiquito, la reserva de derechos, la causal y la prueba de cotizaciones puede cambiar completamente el resultado económico.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88"/>
        <w:gridCol w:w="2376"/>
        <w:gridCol w:w="3024"/>
        <w:gridCol w:w="1584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Caso / tema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Qué discutió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Lección práctica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7"/>
              </w:rPr>
              <w:t>Link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CS Rol 11.418-2022 — Banco de Chile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Alcance de una reserva de derechos en finiquito y descuentos discutidos.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 reserva debe ser clara y precisa. Una reserva genérica puede no cubrir partidas específicas; RR.HH. debe explicitar cada descuento y riesgo.</w:t>
            </w:r>
          </w:p>
        </w:tc>
        <w:tc>
          <w:tcPr>
            <w:tcW w:type="dxa" w:w="1584"/>
            <w:vAlign w:val="center"/>
          </w:tcPr>
          <w:p>
            <w:r/>
            <w:hyperlink r:id="rId31">
              <w:r>
                <w:rPr>
                  <w:color w:val="0563C1"/>
                  <w:u w:val="single"/>
                </w:rPr>
                <w:t>Ver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CS Rol 120.495-2022 — empresa vitivinícola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Relación entre finiquito y nulidad del despido por cotizaciones.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finiquito no elimina automáticamente la acción de nulidad por cotizaciones impagas. Verificar cotizaciones antes de despedir.</w:t>
            </w:r>
          </w:p>
        </w:tc>
        <w:tc>
          <w:tcPr>
            <w:tcW w:type="dxa" w:w="1584"/>
            <w:vAlign w:val="center"/>
          </w:tcPr>
          <w:p>
            <w:r/>
            <w:hyperlink r:id="rId32">
              <w:r>
                <w:rPr>
                  <w:color w:val="0563C1"/>
                  <w:u w:val="single"/>
                </w:rPr>
                <w:t>Ver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Necesidades de la empresa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Tribunales revisan si la causa económica, técnica u organizacional es real y necesaria.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basta una frase estándar. Preparar carpeta con organigrama, baja, racionalización, decisión de negocio y selección del cargo.</w:t>
            </w:r>
          </w:p>
        </w:tc>
        <w:tc>
          <w:tcPr>
            <w:tcW w:type="dxa" w:w="1584"/>
            <w:vAlign w:val="center"/>
          </w:tcPr>
          <w:p>
            <w:r/>
            <w:hyperlink r:id="rId33">
              <w:r>
                <w:rPr>
                  <w:color w:val="0563C1"/>
                  <w:u w:val="single"/>
                </w:rPr>
                <w:t>Ver</w:t>
              </w:r>
            </w:hyperlink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Base de cálculo art. 172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Discusión sobre qué pagos mensuales integran la última remuneración.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Colación, movilización, comisiones, bonos mensuales o especies pueden alterar IAS y aviso previo. Revisar últimos meses y naturaleza del pago.</w:t>
            </w:r>
          </w:p>
        </w:tc>
        <w:tc>
          <w:tcPr>
            <w:tcW w:type="dxa" w:w="1584"/>
            <w:vAlign w:val="center"/>
          </w:tcPr>
          <w:p>
            <w:r/>
            <w:hyperlink r:id="rId34">
              <w:r>
                <w:rPr>
                  <w:color w:val="0563C1"/>
                  <w:u w:val="single"/>
                </w:rPr>
                <w:t>Ver</w:t>
              </w:r>
            </w:hyperlink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FFF7E6"/>
            <w:tcBorders>
              <w:top w:val="single" w:sz="8" w:color="C9A227"/>
              <w:left w:val="single" w:sz="8" w:color="C9A227"/>
              <w:bottom w:val="single" w:sz="8" w:color="C9A227"/>
              <w:right w:val="single" w:sz="8" w:color="C9A227"/>
            </w:tcBorders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Qué aprendemos de la jurisprudencia</w:t>
            </w:r>
          </w:p>
          <w:p>
            <w:pPr>
              <w:spacing w:after="0" w:line="264" w:lineRule="auto"/>
            </w:pPr>
            <w:r>
              <w:t>Para reducir litigios, el finiquito debe ser específico: causal, hechos, montos, descuentos, cotizaciones, reserva de derechos y soporte documental. La empresa debe asumir que un juez revisará la sustancia, no solo el formulario.</w:t>
            </w:r>
          </w:p>
        </w:tc>
      </w:tr>
    </w:tbl>
    <w:p/>
    <w:p>
      <w:pPr>
        <w:pStyle w:val="Heading1"/>
      </w:pPr>
      <w:r>
        <w:t>12. Por qué el cálculo del finiquito es difícil incluso para abogados</w:t>
      </w:r>
    </w:p>
    <w:p>
      <w:pPr>
        <w:pStyle w:val="ListBullet"/>
        <w:spacing w:after="80"/>
      </w:pPr>
      <w:r>
        <w:t>No existe un único cálculo: primero hay que identificar el régimen aplicable —privado, público, municipal, estatuto especial u honorarios—.</w:t>
      </w:r>
    </w:p>
    <w:p>
      <w:pPr>
        <w:pStyle w:val="ListBullet"/>
        <w:spacing w:after="80"/>
      </w:pPr>
      <w:r>
        <w:t>La base laboral de indemnización no siempre coincide con la base tributaria ni con la base previsional.</w:t>
      </w:r>
    </w:p>
    <w:p>
      <w:pPr>
        <w:pStyle w:val="ListBullet"/>
        <w:spacing w:after="80"/>
      </w:pPr>
      <w:r>
        <w:t>La última remuneración mensual del artículo 172 incluye y excluye conceptos por naturaleza, periodicidad y forma de pago; esto exige revisar liquidaciones, contrato, anexos y práctica real.</w:t>
      </w:r>
    </w:p>
    <w:p>
      <w:pPr>
        <w:pStyle w:val="ListBullet"/>
        <w:spacing w:after="80"/>
      </w:pPr>
      <w:r>
        <w:t>El tratamiento tributario depende de si la partida es remuneración, indemnización legal, indemnización convencional, beneficio colectivo, feriado compensado, bono u otro concepto.</w:t>
      </w:r>
    </w:p>
    <w:p>
      <w:pPr>
        <w:pStyle w:val="ListBullet"/>
        <w:spacing w:after="80"/>
      </w:pPr>
      <w:r>
        <w:t>Las tablas de IUSC cambian mensualmente por UTM; por eso el cálculo debe usar el mes de pago, no una tabla fija.</w:t>
      </w:r>
    </w:p>
    <w:p>
      <w:pPr>
        <w:pStyle w:val="ListBullet"/>
        <w:spacing w:after="80"/>
      </w:pPr>
      <w:r>
        <w:t>Las cotizaciones previsionales pueden transformar un error administrativo en nulidad del despido, con costo acumulativo de remuneraciones.</w:t>
      </w:r>
    </w:p>
    <w:p>
      <w:pPr>
        <w:pStyle w:val="ListBullet"/>
        <w:spacing w:after="80"/>
      </w:pPr>
      <w:r>
        <w:t>La jurisprudencia sobre poder liberatorio del finiquito y reserva de derechos exige precisión; una frase genérica puede ser insuficiente.</w:t>
      </w:r>
    </w:p>
    <w:p>
      <w:pPr>
        <w:pStyle w:val="ListBullet"/>
        <w:spacing w:after="80"/>
      </w:pPr>
      <w:r>
        <w:t>En sector público, conceptos como contrata, confianza legítima, acto administrativo, estatuto especial u honorarios cambian completamente el análisis.</w:t>
      </w:r>
    </w:p>
    <w:p>
      <w:pPr>
        <w:pStyle w:val="ListBullet"/>
        <w:spacing w:after="80"/>
      </w:pPr>
      <w:r>
        <w:t>Por eso la mejor práctica no es solo que lo revise un abogado: debe existir una planilla de cálculo controlada por payroll/contador, validación legal de causal y revisión tributaria de partidas especiales.</w:t>
      </w:r>
    </w:p>
    <w:p>
      <w:pPr>
        <w:pStyle w:val="Heading1"/>
      </w:pPr>
      <w:r>
        <w:t>13. Checklist operativo para RR.HH.</w:t>
      </w:r>
    </w:p>
    <w:p>
      <w:pPr>
        <w:pStyle w:val="ListNumber"/>
        <w:spacing w:after="80"/>
      </w:pPr>
      <w:r>
        <w:t>Confirmar tipo de contrato, fecha de ingreso, anexos, cargo, funciones, remuneración fija/variable y beneficios mensuales.</w:t>
      </w:r>
    </w:p>
    <w:p>
      <w:pPr>
        <w:pStyle w:val="ListNumber"/>
        <w:spacing w:after="80"/>
      </w:pPr>
      <w:r>
        <w:t>Confirmar régimen jurídico: empresa privada/Código del Trabajo, empresa pública con Código del Trabajo, estatuto público, municipal, especial u honorarios.</w:t>
      </w:r>
    </w:p>
    <w:p>
      <w:pPr>
        <w:pStyle w:val="ListNumber"/>
        <w:spacing w:after="80"/>
      </w:pPr>
      <w:r>
        <w:t>Verificar si existe fuero: maternidad/paternidad, sindical, comité paritario, negociación colectiva u otro.</w:t>
      </w:r>
    </w:p>
    <w:p>
      <w:pPr>
        <w:pStyle w:val="ListNumber"/>
        <w:spacing w:after="80"/>
      </w:pPr>
      <w:r>
        <w:t>Revisar si el trabajador está con licencia médica; no invocar art. 161 mientras goza de licencia por enfermedad común, accidente del trabajo o enfermedad profesional.</w:t>
      </w:r>
    </w:p>
    <w:p>
      <w:pPr>
        <w:pStyle w:val="ListNumber"/>
        <w:spacing w:after="80"/>
      </w:pPr>
      <w:r>
        <w:t>Seleccionar causal legal y preparar carpeta de respaldo: reorganización, desempeño documental, incumplimientos, actas, correos, informes o antecedentes.</w:t>
      </w:r>
    </w:p>
    <w:p>
      <w:pPr>
        <w:pStyle w:val="ListNumber"/>
        <w:spacing w:after="80"/>
      </w:pPr>
      <w:r>
        <w:t>Calcular finiquito: remuneraciones pendientes, aviso previo, IAS, feriado legal/proporcional, bonos proporcionales, otras prestaciones, reembolsos pendientes, beneficios contractuales y descuentos válidos.</w:t>
      </w:r>
    </w:p>
    <w:p>
      <w:pPr>
        <w:pStyle w:val="ListNumber"/>
        <w:spacing w:after="80"/>
      </w:pPr>
      <w:r>
        <w:t>Preparar matriz tributaria: separar remuneraciones afectas, indemnizaciones no renta, reembolsos, descuentos, cotizaciones e IUSC.</w:t>
      </w:r>
    </w:p>
    <w:p>
      <w:pPr>
        <w:pStyle w:val="ListNumber"/>
        <w:spacing w:after="80"/>
      </w:pPr>
      <w:r>
        <w:t>Obtener certificado/planillas de cotizaciones previsionales, salud y AFC pagadas hasta el mes anterior.</w:t>
      </w:r>
    </w:p>
    <w:p>
      <w:pPr>
        <w:pStyle w:val="ListNumber"/>
        <w:spacing w:after="80"/>
      </w:pPr>
      <w:r>
        <w:t>Validar con contabilidad que reembolsos tengan comprobantes y que bonos proporcionales tengan regla de devengo/proporcionalidad documentada.</w:t>
      </w:r>
    </w:p>
    <w:p>
      <w:pPr>
        <w:pStyle w:val="ListNumber"/>
        <w:spacing w:after="80"/>
      </w:pPr>
      <w:r>
        <w:t>Preparar carta con causal, hechos, montos, estado de cotizaciones, modalidad de finiquito y derecho a reserva de derechos.</w:t>
      </w:r>
    </w:p>
    <w:p>
      <w:pPr>
        <w:pStyle w:val="ListNumber"/>
        <w:spacing w:after="80"/>
      </w:pPr>
      <w:r>
        <w:t>Entregar carta personalmente o por carta certificada; enviar copia a Inspección del Trabajo dentro del plazo.</w:t>
      </w:r>
    </w:p>
    <w:p>
      <w:pPr>
        <w:pStyle w:val="ListNumber"/>
        <w:spacing w:after="80"/>
      </w:pPr>
      <w:r>
        <w:t>Poner finiquito y pago a disposición dentro de 10 días hábiles; coordinar ratificación presencial o electrónica.</w:t>
      </w:r>
    </w:p>
    <w:p>
      <w:pPr>
        <w:pStyle w:val="ListNumber"/>
        <w:spacing w:after="80"/>
      </w:pPr>
      <w:r>
        <w:t>Conservar evidencia completa: carta, comprobante de envío, copia DT, cálculo, liquidaciones, certificados de cotizaciones, comprobante de pago y finiquito ratificado.</w:t>
      </w:r>
    </w:p>
    <w:p>
      <w:pPr>
        <w:pStyle w:val="Heading1"/>
      </w:pPr>
      <w:r>
        <w:t>14. Modelo de matriz de cálculo interno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76"/>
        <w:gridCol w:w="2376"/>
        <w:gridCol w:w="2592"/>
        <w:gridCol w:w="1584"/>
      </w:tblGrid>
      <w:tr>
        <w:trPr>
          <w:tblHeader w:val="true"/>
        </w:trP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Dato / concepto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Valor a ingresar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Observación de control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OK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Régimen jurídico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Código del Trabajo / estatuto público / honorarios.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 ingreso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contrato y anexos.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 término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Debe coincidir con carta y finiquito.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Causal legal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Art. 159, 160 o 161; describir hechos.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Última remuneración mensual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Aplicar art. 172 y tope 90 UF si corresponde.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Años de servicio + fracción &gt; 6 meses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Solo IAS si art. 161 y ≥ 1 año.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Aviso previo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Pagar 1 mes si no hubo aviso 30 días en art. 161.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Feriado legal/proporcional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Calcular y respaldar días.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Partidas afectas/no renta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Clasificar antes de impuestos.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Bonos proporcionales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Verificar devengo y regla de proporcionalidad.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Reembolsos pendientes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Validar rendiciones y comprobantes aprobados.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IUSC y descuentos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tabla SII del mes de pago.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Cotizaciones cargo trabajador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AFP/IPS, salud y AFC trabajador si aplica; restan del líquido de remuneraciones afectas.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Cotizaciones cargo empleador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AFC empleador, SIS, mutualidad y cotización previsional de cargo empresa; no pagarlas al trabajador.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Soporte contable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Guardar clasificación fiscal, liquidación, respaldo de gasto y comprobantes de pago/retención.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Cotizaciones pagadas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Adjuntar certificados/planillas.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Modalidad finiquito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Presencial o electrónico DT; informar voluntariedad.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</w:t>
            </w:r>
          </w:p>
        </w:tc>
      </w:tr>
    </w:tbl>
    <w:p>
      <w:pPr>
        <w:pStyle w:val="Heading1"/>
      </w:pPr>
      <w:r>
        <w:t>15. Links de referencia oficial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Código del Trabajo vigente — Ley Chile / BCN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BCN Ley Fácil — término de contrato de trabajo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ChileAtiende — carta electrónica de aviso de despido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ChileAtiende — finiquito de término de contrato de trabajo</w:t>
        </w:r>
      </w:hyperlink>
    </w:p>
    <w:p>
      <w:pPr>
        <w:pStyle w:val="ListBullet"/>
      </w:pPr>
      <w:hyperlink r:id="rId29">
        <w:r>
          <w:rPr>
            <w:color w:val="0563C1"/>
            <w:u w:val="single"/>
          </w:rPr>
          <w:t>Dirección del Trabajo — ratificación de finiquito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Dirección del Trabajo — simulador de finiquito</w:t>
        </w:r>
      </w:hyperlink>
    </w:p>
    <w:p>
      <w:pPr>
        <w:pStyle w:val="ListBullet"/>
      </w:pPr>
      <w:hyperlink r:id="rId36">
        <w:r>
          <w:rPr>
            <w:color w:val="0563C1"/>
            <w:u w:val="single"/>
          </w:rPr>
          <w:t>Dirección del Trabajo — indemnización por años de servicio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Dirección del Trabajo — base de cálculo de indemnización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Dirección del Trabajo — feriado proporcional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SII — vacaciones pagadas en finiquito no constituyen renta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SII — indemnización por desahucio/retiro e Impuesto Único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SII — tabla Impuesto Único de Segunda Categoría 2026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SII — criterio art. 178 Código del Trabajo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SII — criterio art. 17 N°13 Ley de la Renta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Superintendencia de Pensiones — seguro de cesantía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AFC — cotizaciones del empleador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Superintendencia de Pensiones — SIS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Superintendencia de Pensiones — cotización de cargo del empleador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BCN — Estatuto Administrativo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Poder Judicial — finiquito y reserva de derechos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Poder Judicial — finiquito y nulidad del despido</w:t>
        </w:r>
      </w:hyperlink>
    </w:p>
    <w:p>
      <w:pPr>
        <w:pStyle w:val="Heading1"/>
      </w:pPr>
      <w:r>
        <w:t>Nota final</w:t>
      </w:r>
    </w:p>
    <w:p>
      <w:r>
        <w:rPr>
          <w:b/>
        </w:rPr>
        <w:t xml:space="preserve">Este documento es una guía operativa y no reemplaza asesoría legal. </w:t>
      </w:r>
      <w:r>
        <w:t>Revisar caso concreto si hay fuero, licencias médicas, despidos disciplinarios, Ley Karin, ejecutivos o cláusulas especiales.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Documento de referencia interna. Revisar caso concreto con asesor laboral antes de ejecutar despidos sensibles.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Guía RR.HH. — término de contrato y finiquito en Chile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cn.cl/leychile/navegar?idNorma=207436" TargetMode="External"/><Relationship Id="rId12" Type="http://schemas.openxmlformats.org/officeDocument/2006/relationships/hyperlink" Target="https://www.bcn.cl/portal/leyfacil/recurso/termino-de-contrato-de-trabajo" TargetMode="External"/><Relationship Id="rId13" Type="http://schemas.openxmlformats.org/officeDocument/2006/relationships/hyperlink" Target="https://www.bcn.cl/leychile/navegar?idNorma=236392" TargetMode="External"/><Relationship Id="rId14" Type="http://schemas.openxmlformats.org/officeDocument/2006/relationships/hyperlink" Target="https://www.bcn.cl/leychile/navegar?idNorma=30256" TargetMode="External"/><Relationship Id="rId15" Type="http://schemas.openxmlformats.org/officeDocument/2006/relationships/hyperlink" Target="https://www.dt.gob.cl/legislacion/1624/w3-article-114293.html" TargetMode="External"/><Relationship Id="rId16" Type="http://schemas.openxmlformats.org/officeDocument/2006/relationships/hyperlink" Target="https://www.chileatiende.gob.cl/fichas/1477-carta-electronica-de-aviso-de-despido" TargetMode="External"/><Relationship Id="rId17" Type="http://schemas.openxmlformats.org/officeDocument/2006/relationships/hyperlink" Target="https://www.sii.cl/preguntas_frecuentes/declaracion_renta/001_140_5683.htm" TargetMode="External"/><Relationship Id="rId18" Type="http://schemas.openxmlformats.org/officeDocument/2006/relationships/hyperlink" Target="https://www.sii.cl/preguntas_frecuentes/declaracion_renta/001_140_3727.htm" TargetMode="External"/><Relationship Id="rId19" Type="http://schemas.openxmlformats.org/officeDocument/2006/relationships/hyperlink" Target="https://www.sii.cl/valores_y_fechas/impuesto_2da_categoria/impuesto2026.htm" TargetMode="External"/><Relationship Id="rId20" Type="http://schemas.openxmlformats.org/officeDocument/2006/relationships/hyperlink" Target="https://www.sii.cl/normativa_legislacion/jurisprudencia_administrativa/ley_impuesto_renta/2009/ja1775.htm" TargetMode="External"/><Relationship Id="rId21" Type="http://schemas.openxmlformats.org/officeDocument/2006/relationships/hyperlink" Target="https://www.sii.cl/pagina/jurisprudencia/adminis/2017/renta/ja009.htm" TargetMode="External"/><Relationship Id="rId22" Type="http://schemas.openxmlformats.org/officeDocument/2006/relationships/hyperlink" Target="https://www.spensiones.cl/portal/institucional/594/w3-article-3590.html" TargetMode="External"/><Relationship Id="rId23" Type="http://schemas.openxmlformats.org/officeDocument/2006/relationships/hyperlink" Target="https://www.afc.cl/empleadores/esta-formando-una-empresa/cotizaciones-cuanto-y-como-debo-pagar/" TargetMode="External"/><Relationship Id="rId24" Type="http://schemas.openxmlformats.org/officeDocument/2006/relationships/hyperlink" Target="https://www.spensiones.cl/portal/institucional/594/w3-propertyvalue-9917.html" TargetMode="External"/><Relationship Id="rId25" Type="http://schemas.openxmlformats.org/officeDocument/2006/relationships/hyperlink" Target="https://www.spensiones.cl/portal/institucional/594/w3-propertyvalue-10906.html" TargetMode="External"/><Relationship Id="rId26" Type="http://schemas.openxmlformats.org/officeDocument/2006/relationships/hyperlink" Target="https://www.dt.gob.cl/portal/1628/w3-article-60585.html" TargetMode="External"/><Relationship Id="rId27" Type="http://schemas.openxmlformats.org/officeDocument/2006/relationships/hyperlink" Target="https://www.dt.gob.cl/portal/1628/w3-article-60589.html" TargetMode="External"/><Relationship Id="rId28" Type="http://schemas.openxmlformats.org/officeDocument/2006/relationships/hyperlink" Target="https://www.dt.gob.cl/portal/1628/w3-article-60200.html" TargetMode="External"/><Relationship Id="rId29" Type="http://schemas.openxmlformats.org/officeDocument/2006/relationships/hyperlink" Target="https://www.dt.gob.cl/portal/1626/w3-article-117245.html" TargetMode="External"/><Relationship Id="rId30" Type="http://schemas.openxmlformats.org/officeDocument/2006/relationships/hyperlink" Target="https://www.chileatiende.gob.cl/fichas/33522-finiquito-de-termino-de-contrato-de-trabajo" TargetMode="External"/><Relationship Id="rId31" Type="http://schemas.openxmlformats.org/officeDocument/2006/relationships/hyperlink" Target="https://www.pjud.cl/prensa-y-comunicaciones/noticias-del-poder-judicial/106254" TargetMode="External"/><Relationship Id="rId32" Type="http://schemas.openxmlformats.org/officeDocument/2006/relationships/hyperlink" Target="https://www.pjud.cl/prensa-y-comunicaciones/noticias-del-poder-judicial/106880" TargetMode="External"/><Relationship Id="rId33" Type="http://schemas.openxmlformats.org/officeDocument/2006/relationships/hyperlink" Target="https://www.pjud.cl/prensa-y-comunicaciones/getRulingNew/27842" TargetMode="External"/><Relationship Id="rId34" Type="http://schemas.openxmlformats.org/officeDocument/2006/relationships/hyperlink" Target="https://www.pjud.cl/prensa-y-comunicaciones/getRulingNew/57216" TargetMode="External"/><Relationship Id="rId35" Type="http://schemas.openxmlformats.org/officeDocument/2006/relationships/hyperlink" Target="https://www.dt.gob.cl/m/1620/w3-article-101172.html" TargetMode="External"/><Relationship Id="rId36" Type="http://schemas.openxmlformats.org/officeDocument/2006/relationships/hyperlink" Target="https://www.dt.gob.cl/portal/1628/w3-article-6059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