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Fix2 — Case Menu and Dynamic Inputs</w:t>
      </w:r>
    </w:p>
    <w:p>
      <w:pPr>
        <w:jc w:val="center"/>
      </w:pPr>
      <w:r>
        <w:rPr>
          <w:i/>
        </w:rPr>
        <w:t>Developer-ready fix and workflow to run different finiquito/litigation cases</w:t>
      </w:r>
    </w:p>
    <w:p>
      <w:pPr>
        <w:jc w:val="center"/>
      </w:pPr>
      <w:r>
        <w:t>Target: Cursor implementation | Product: Chile finiquito engine for law firm advising employers</w:t>
      </w:r>
    </w:p>
    <w:p>
      <w:pPr>
        <w:pStyle w:val="Heading1"/>
      </w:pPr>
      <w:r>
        <w:t>1. Objective</w:t>
      </w:r>
    </w:p>
    <w:p>
      <w:r>
        <w:t>Fix2 adds a clear case menu and dynamic input workflow so users can run different types of termination/finiquito cases without manually editing JSON or choosing hidden engine paths. The menu becomes the front door of the system: the user selects the case type, the system shows only the relevant inputs, validates evidence, then runs the correct workflow stage.</w:t>
      </w:r>
    </w:p>
    <w:p>
      <w:pPr>
        <w:pStyle w:val="Heading1"/>
      </w:pPr>
      <w:r>
        <w:t>2. Design principle</w:t>
      </w:r>
    </w:p>
    <w:p>
      <w:pPr>
        <w:pStyle w:val="ListBullet"/>
        <w:spacing w:after="40"/>
      </w:pPr>
      <w:r>
        <w:t>Do not show one massive form with every possible field.</w:t>
      </w:r>
    </w:p>
    <w:p>
      <w:pPr>
        <w:pStyle w:val="ListBullet"/>
        <w:spacing w:after="40"/>
      </w:pPr>
      <w:r>
        <w:t>The selected case type controls required inputs, evidence requirements, available calculations and blockers.</w:t>
      </w:r>
    </w:p>
    <w:p>
      <w:pPr>
        <w:pStyle w:val="ListBullet"/>
        <w:spacing w:after="40"/>
      </w:pPr>
      <w:r>
        <w:t>Every case can run in Draft mode, but only valid cases can produce an Approved Client Report.</w:t>
      </w:r>
    </w:p>
    <w:p>
      <w:pPr>
        <w:pStyle w:val="ListBullet"/>
        <w:spacing w:after="40"/>
      </w:pPr>
      <w:r>
        <w:t>Menu choices must map to backend case_type/cause_code, not free text.</w:t>
      </w:r>
    </w:p>
    <w:p>
      <w:pPr>
        <w:pStyle w:val="Heading1"/>
      </w:pPr>
      <w:r>
        <w:t>3. Case menu structure</w:t>
      </w:r>
    </w:p>
    <w:tbl>
      <w:tblPr>
        <w:tblStyle w:val="TableGrid"/>
        <w:tblW w:type="auto" w:w="0"/>
        <w:jc w:val="center"/>
        <w:tblLook w:firstColumn="1" w:firstRow="1" w:lastColumn="0" w:lastRow="0" w:noHBand="0" w:noVBand="1" w:val="04A0"/>
      </w:tblPr>
      <w:tblGrid>
        <w:gridCol w:w="2088"/>
        <w:gridCol w:w="3240"/>
        <w:gridCol w:w="2880"/>
        <w:gridCol w:w="1872"/>
      </w:tblGrid>
      <w:tr>
        <w:tc>
          <w:tcPr>
            <w:tcW w:type="dxa" w:w="2556"/>
            <w:vAlign w:val="center"/>
            <w:shd w:fill="EAF2F8"/>
          </w:tcPr>
          <w:p>
            <w:pPr>
              <w:spacing w:after="0"/>
            </w:pPr>
            <w:r/>
            <w:r>
              <w:rPr>
                <w:b/>
                <w:sz w:val="16"/>
              </w:rPr>
              <w:t>Menu group</w:t>
            </w:r>
          </w:p>
        </w:tc>
        <w:tc>
          <w:tcPr>
            <w:tcW w:type="dxa" w:w="2556"/>
            <w:vAlign w:val="center"/>
            <w:shd w:fill="EAF2F8"/>
          </w:tcPr>
          <w:p>
            <w:pPr>
              <w:spacing w:after="0"/>
            </w:pPr>
            <w:r/>
            <w:r>
              <w:rPr>
                <w:b/>
                <w:sz w:val="16"/>
              </w:rPr>
              <w:t>Case option</w:t>
            </w:r>
          </w:p>
        </w:tc>
        <w:tc>
          <w:tcPr>
            <w:tcW w:type="dxa" w:w="2556"/>
            <w:vAlign w:val="center"/>
            <w:shd w:fill="EAF2F8"/>
          </w:tcPr>
          <w:p>
            <w:pPr>
              <w:spacing w:after="0"/>
            </w:pPr>
            <w:r/>
            <w:r>
              <w:rPr>
                <w:b/>
                <w:sz w:val="16"/>
              </w:rPr>
              <w:t>Backend code</w:t>
            </w:r>
          </w:p>
        </w:tc>
        <w:tc>
          <w:tcPr>
            <w:tcW w:type="dxa" w:w="2556"/>
            <w:vAlign w:val="center"/>
            <w:shd w:fill="EAF2F8"/>
          </w:tcPr>
          <w:p>
            <w:pPr>
              <w:spacing w:after="0"/>
            </w:pPr>
            <w:r/>
            <w:r>
              <w:rPr>
                <w:b/>
                <w:sz w:val="16"/>
              </w:rPr>
              <w:t>Engine route</w:t>
            </w:r>
          </w:p>
        </w:tc>
      </w:tr>
      <w:tr>
        <w:tc>
          <w:tcPr>
            <w:tcW w:type="dxa" w:w="2088"/>
            <w:vAlign w:val="center"/>
          </w:tcPr>
          <w:p>
            <w:pPr>
              <w:spacing w:after="0"/>
            </w:pPr>
            <w:r/>
            <w:r>
              <w:rPr>
                <w:b w:val="0"/>
                <w:sz w:val="14"/>
              </w:rPr>
              <w:t>Private employer</w:t>
            </w:r>
          </w:p>
        </w:tc>
        <w:tc>
          <w:tcPr>
            <w:tcW w:type="dxa" w:w="3240"/>
            <w:vAlign w:val="center"/>
          </w:tcPr>
          <w:p>
            <w:pPr>
              <w:spacing w:after="0"/>
            </w:pPr>
            <w:r/>
            <w:r>
              <w:rPr>
                <w:b w:val="0"/>
                <w:sz w:val="14"/>
              </w:rPr>
              <w:t>Art. 161 necesidades empresa</w:t>
            </w:r>
          </w:p>
        </w:tc>
        <w:tc>
          <w:tcPr>
            <w:tcW w:type="dxa" w:w="2880"/>
            <w:vAlign w:val="center"/>
          </w:tcPr>
          <w:p>
            <w:pPr>
              <w:spacing w:after="0"/>
            </w:pPr>
            <w:r/>
            <w:r>
              <w:rPr>
                <w:b w:val="0"/>
                <w:sz w:val="14"/>
              </w:rPr>
              <w:t>PRIVATE_ART161_NEEDS</w:t>
            </w:r>
          </w:p>
        </w:tc>
        <w:tc>
          <w:tcPr>
            <w:tcW w:type="dxa" w:w="1872"/>
            <w:vAlign w:val="center"/>
          </w:tcPr>
          <w:p>
            <w:pPr>
              <w:spacing w:after="0"/>
            </w:pPr>
            <w:r/>
            <w:r>
              <w:rPr>
                <w:b w:val="0"/>
                <w:sz w:val="14"/>
              </w:rPr>
              <w:t>Stage 1 + Stage 2</w:t>
            </w:r>
          </w:p>
        </w:tc>
      </w:tr>
      <w:tr>
        <w:tc>
          <w:tcPr>
            <w:tcW w:type="dxa" w:w="2088"/>
            <w:vAlign w:val="center"/>
          </w:tcPr>
          <w:p>
            <w:pPr>
              <w:spacing w:after="0"/>
            </w:pPr>
            <w:r/>
            <w:r>
              <w:rPr>
                <w:b w:val="0"/>
                <w:sz w:val="14"/>
              </w:rPr>
              <w:t>Private employer</w:t>
            </w:r>
          </w:p>
        </w:tc>
        <w:tc>
          <w:tcPr>
            <w:tcW w:type="dxa" w:w="3240"/>
            <w:vAlign w:val="center"/>
          </w:tcPr>
          <w:p>
            <w:pPr>
              <w:spacing w:after="0"/>
            </w:pPr>
            <w:r/>
            <w:r>
              <w:rPr>
                <w:b w:val="0"/>
                <w:sz w:val="14"/>
              </w:rPr>
              <w:t>Art. 161 desahucio/confianza</w:t>
            </w:r>
          </w:p>
        </w:tc>
        <w:tc>
          <w:tcPr>
            <w:tcW w:type="dxa" w:w="2880"/>
            <w:vAlign w:val="center"/>
          </w:tcPr>
          <w:p>
            <w:pPr>
              <w:spacing w:after="0"/>
            </w:pPr>
            <w:r/>
            <w:r>
              <w:rPr>
                <w:b w:val="0"/>
                <w:sz w:val="14"/>
              </w:rPr>
              <w:t>PRIVATE_ART161_DESAHUCIO</w:t>
            </w:r>
          </w:p>
        </w:tc>
        <w:tc>
          <w:tcPr>
            <w:tcW w:type="dxa" w:w="1872"/>
            <w:vAlign w:val="center"/>
          </w:tcPr>
          <w:p>
            <w:pPr>
              <w:spacing w:after="0"/>
            </w:pPr>
            <w:r/>
            <w:r>
              <w:rPr>
                <w:b w:val="0"/>
                <w:sz w:val="14"/>
              </w:rPr>
              <w:t>Stage 1 + Stage 2</w:t>
            </w:r>
          </w:p>
        </w:tc>
      </w:tr>
      <w:tr>
        <w:tc>
          <w:tcPr>
            <w:tcW w:type="dxa" w:w="2088"/>
            <w:vAlign w:val="center"/>
          </w:tcPr>
          <w:p>
            <w:pPr>
              <w:spacing w:after="0"/>
            </w:pPr>
            <w:r/>
            <w:r>
              <w:rPr>
                <w:b w:val="0"/>
                <w:sz w:val="14"/>
              </w:rPr>
              <w:t>Private employer</w:t>
            </w:r>
          </w:p>
        </w:tc>
        <w:tc>
          <w:tcPr>
            <w:tcW w:type="dxa" w:w="3240"/>
            <w:vAlign w:val="center"/>
          </w:tcPr>
          <w:p>
            <w:pPr>
              <w:spacing w:after="0"/>
            </w:pPr>
            <w:r/>
            <w:r>
              <w:rPr>
                <w:b w:val="0"/>
                <w:sz w:val="14"/>
              </w:rPr>
              <w:t>Art. 160 disciplinary</w:t>
            </w:r>
          </w:p>
        </w:tc>
        <w:tc>
          <w:tcPr>
            <w:tcW w:type="dxa" w:w="2880"/>
            <w:vAlign w:val="center"/>
          </w:tcPr>
          <w:p>
            <w:pPr>
              <w:spacing w:after="0"/>
            </w:pPr>
            <w:r/>
            <w:r>
              <w:rPr>
                <w:b w:val="0"/>
                <w:sz w:val="14"/>
              </w:rPr>
              <w:t>PRIVATE_ART160_DISCIPLINARY</w:t>
            </w:r>
          </w:p>
        </w:tc>
        <w:tc>
          <w:tcPr>
            <w:tcW w:type="dxa" w:w="1872"/>
            <w:vAlign w:val="center"/>
          </w:tcPr>
          <w:p>
            <w:pPr>
              <w:spacing w:after="0"/>
            </w:pPr>
            <w:r/>
            <w:r>
              <w:rPr>
                <w:b w:val="0"/>
                <w:sz w:val="14"/>
              </w:rPr>
              <w:t>Stage 1 limited + Stage 2</w:t>
            </w:r>
          </w:p>
        </w:tc>
      </w:tr>
      <w:tr>
        <w:tc>
          <w:tcPr>
            <w:tcW w:type="dxa" w:w="2088"/>
            <w:vAlign w:val="center"/>
          </w:tcPr>
          <w:p>
            <w:pPr>
              <w:spacing w:after="0"/>
            </w:pPr>
            <w:r/>
            <w:r>
              <w:rPr>
                <w:b w:val="0"/>
                <w:sz w:val="14"/>
              </w:rPr>
              <w:t>Private employer</w:t>
            </w:r>
          </w:p>
        </w:tc>
        <w:tc>
          <w:tcPr>
            <w:tcW w:type="dxa" w:w="3240"/>
            <w:vAlign w:val="center"/>
          </w:tcPr>
          <w:p>
            <w:pPr>
              <w:spacing w:after="0"/>
            </w:pPr>
            <w:r/>
            <w:r>
              <w:rPr>
                <w:b w:val="0"/>
                <w:sz w:val="14"/>
              </w:rPr>
              <w:t>Fixed-term expiration</w:t>
            </w:r>
          </w:p>
        </w:tc>
        <w:tc>
          <w:tcPr>
            <w:tcW w:type="dxa" w:w="2880"/>
            <w:vAlign w:val="center"/>
          </w:tcPr>
          <w:p>
            <w:pPr>
              <w:spacing w:after="0"/>
            </w:pPr>
            <w:r/>
            <w:r>
              <w:rPr>
                <w:b w:val="0"/>
                <w:sz w:val="14"/>
              </w:rPr>
              <w:t>PRIVATE_ART159_FIXED_TERM</w:t>
            </w:r>
          </w:p>
        </w:tc>
        <w:tc>
          <w:tcPr>
            <w:tcW w:type="dxa" w:w="1872"/>
            <w:vAlign w:val="center"/>
          </w:tcPr>
          <w:p>
            <w:pPr>
              <w:spacing w:after="0"/>
            </w:pPr>
            <w:r/>
            <w:r>
              <w:rPr>
                <w:b w:val="0"/>
                <w:sz w:val="14"/>
              </w:rPr>
              <w:t>Stage 1 basic</w:t>
            </w:r>
          </w:p>
        </w:tc>
      </w:tr>
      <w:tr>
        <w:tc>
          <w:tcPr>
            <w:tcW w:type="dxa" w:w="2088"/>
            <w:vAlign w:val="center"/>
          </w:tcPr>
          <w:p>
            <w:pPr>
              <w:spacing w:after="0"/>
            </w:pPr>
            <w:r/>
            <w:r>
              <w:rPr>
                <w:b w:val="0"/>
                <w:sz w:val="14"/>
              </w:rPr>
              <w:t>Private employer</w:t>
            </w:r>
          </w:p>
        </w:tc>
        <w:tc>
          <w:tcPr>
            <w:tcW w:type="dxa" w:w="3240"/>
            <w:vAlign w:val="center"/>
          </w:tcPr>
          <w:p>
            <w:pPr>
              <w:spacing w:after="0"/>
            </w:pPr>
            <w:r/>
            <w:r>
              <w:rPr>
                <w:b w:val="0"/>
                <w:sz w:val="14"/>
              </w:rPr>
              <w:t>Obra/faena termination</w:t>
            </w:r>
          </w:p>
        </w:tc>
        <w:tc>
          <w:tcPr>
            <w:tcW w:type="dxa" w:w="2880"/>
            <w:vAlign w:val="center"/>
          </w:tcPr>
          <w:p>
            <w:pPr>
              <w:spacing w:after="0"/>
            </w:pPr>
            <w:r/>
            <w:r>
              <w:rPr>
                <w:b w:val="0"/>
                <w:sz w:val="14"/>
              </w:rPr>
              <w:t>PRIVATE_ART159_WORK_SERVICE</w:t>
            </w:r>
          </w:p>
        </w:tc>
        <w:tc>
          <w:tcPr>
            <w:tcW w:type="dxa" w:w="1872"/>
            <w:vAlign w:val="center"/>
          </w:tcPr>
          <w:p>
            <w:pPr>
              <w:spacing w:after="0"/>
            </w:pPr>
            <w:r/>
            <w:r>
              <w:rPr>
                <w:b w:val="0"/>
                <w:sz w:val="14"/>
              </w:rPr>
              <w:t>Stage 1 basic + obra/faena calc</w:t>
            </w:r>
          </w:p>
        </w:tc>
      </w:tr>
      <w:tr>
        <w:tc>
          <w:tcPr>
            <w:tcW w:type="dxa" w:w="2088"/>
            <w:vAlign w:val="center"/>
          </w:tcPr>
          <w:p>
            <w:pPr>
              <w:spacing w:after="0"/>
            </w:pPr>
            <w:r/>
            <w:r>
              <w:rPr>
                <w:b w:val="0"/>
                <w:sz w:val="14"/>
              </w:rPr>
              <w:t>Private employer</w:t>
            </w:r>
          </w:p>
        </w:tc>
        <w:tc>
          <w:tcPr>
            <w:tcW w:type="dxa" w:w="3240"/>
            <w:vAlign w:val="center"/>
          </w:tcPr>
          <w:p>
            <w:pPr>
              <w:spacing w:after="0"/>
            </w:pPr>
            <w:r/>
            <w:r>
              <w:rPr>
                <w:b w:val="0"/>
                <w:sz w:val="14"/>
              </w:rPr>
              <w:t>Mutual agreement</w:t>
            </w:r>
          </w:p>
        </w:tc>
        <w:tc>
          <w:tcPr>
            <w:tcW w:type="dxa" w:w="2880"/>
            <w:vAlign w:val="center"/>
          </w:tcPr>
          <w:p>
            <w:pPr>
              <w:spacing w:after="0"/>
            </w:pPr>
            <w:r/>
            <w:r>
              <w:rPr>
                <w:b w:val="0"/>
                <w:sz w:val="14"/>
              </w:rPr>
              <w:t>PRIVATE_ART159_MUTUAL</w:t>
            </w:r>
          </w:p>
        </w:tc>
        <w:tc>
          <w:tcPr>
            <w:tcW w:type="dxa" w:w="1872"/>
            <w:vAlign w:val="center"/>
          </w:tcPr>
          <w:p>
            <w:pPr>
              <w:spacing w:after="0"/>
            </w:pPr>
            <w:r/>
            <w:r>
              <w:rPr>
                <w:b w:val="0"/>
                <w:sz w:val="14"/>
              </w:rPr>
              <w:t>Stage 1 basic</w:t>
            </w:r>
          </w:p>
        </w:tc>
      </w:tr>
      <w:tr>
        <w:tc>
          <w:tcPr>
            <w:tcW w:type="dxa" w:w="2088"/>
            <w:vAlign w:val="center"/>
          </w:tcPr>
          <w:p>
            <w:pPr>
              <w:spacing w:after="0"/>
            </w:pPr>
            <w:r/>
            <w:r>
              <w:rPr>
                <w:b w:val="0"/>
                <w:sz w:val="14"/>
              </w:rPr>
              <w:t>Private employer</w:t>
            </w:r>
          </w:p>
        </w:tc>
        <w:tc>
          <w:tcPr>
            <w:tcW w:type="dxa" w:w="3240"/>
            <w:vAlign w:val="center"/>
          </w:tcPr>
          <w:p>
            <w:pPr>
              <w:spacing w:after="0"/>
            </w:pPr>
            <w:r/>
            <w:r>
              <w:rPr>
                <w:b w:val="0"/>
                <w:sz w:val="14"/>
              </w:rPr>
              <w:t>Resignation</w:t>
            </w:r>
          </w:p>
        </w:tc>
        <w:tc>
          <w:tcPr>
            <w:tcW w:type="dxa" w:w="2880"/>
            <w:vAlign w:val="center"/>
          </w:tcPr>
          <w:p>
            <w:pPr>
              <w:spacing w:after="0"/>
            </w:pPr>
            <w:r/>
            <w:r>
              <w:rPr>
                <w:b w:val="0"/>
                <w:sz w:val="14"/>
              </w:rPr>
              <w:t>PRIVATE_ART159_RESIGNATION</w:t>
            </w:r>
          </w:p>
        </w:tc>
        <w:tc>
          <w:tcPr>
            <w:tcW w:type="dxa" w:w="1872"/>
            <w:vAlign w:val="center"/>
          </w:tcPr>
          <w:p>
            <w:pPr>
              <w:spacing w:after="0"/>
            </w:pPr>
            <w:r/>
            <w:r>
              <w:rPr>
                <w:b w:val="0"/>
                <w:sz w:val="14"/>
              </w:rPr>
              <w:t>Stage 1 basic + invalid resignation check</w:t>
            </w:r>
          </w:p>
        </w:tc>
      </w:tr>
      <w:tr>
        <w:tc>
          <w:tcPr>
            <w:tcW w:type="dxa" w:w="2088"/>
            <w:vAlign w:val="center"/>
          </w:tcPr>
          <w:p>
            <w:pPr>
              <w:spacing w:after="0"/>
            </w:pPr>
            <w:r/>
            <w:r>
              <w:rPr>
                <w:b w:val="0"/>
                <w:sz w:val="14"/>
              </w:rPr>
              <w:t>Protected worker</w:t>
            </w:r>
          </w:p>
        </w:tc>
        <w:tc>
          <w:tcPr>
            <w:tcW w:type="dxa" w:w="3240"/>
            <w:vAlign w:val="center"/>
          </w:tcPr>
          <w:p>
            <w:pPr>
              <w:spacing w:after="0"/>
            </w:pPr>
            <w:r/>
            <w:r>
              <w:rPr>
                <w:b w:val="0"/>
                <w:sz w:val="14"/>
              </w:rPr>
              <w:t>Fuero / protected status</w:t>
            </w:r>
          </w:p>
        </w:tc>
        <w:tc>
          <w:tcPr>
            <w:tcW w:type="dxa" w:w="2880"/>
            <w:vAlign w:val="center"/>
          </w:tcPr>
          <w:p>
            <w:pPr>
              <w:spacing w:after="0"/>
            </w:pPr>
            <w:r/>
            <w:r>
              <w:rPr>
                <w:b w:val="0"/>
                <w:sz w:val="14"/>
              </w:rPr>
              <w:t>PROTECTED_FUERO</w:t>
            </w:r>
          </w:p>
        </w:tc>
        <w:tc>
          <w:tcPr>
            <w:tcW w:type="dxa" w:w="1872"/>
            <w:vAlign w:val="center"/>
          </w:tcPr>
          <w:p>
            <w:pPr>
              <w:spacing w:after="0"/>
            </w:pPr>
            <w:r/>
            <w:r>
              <w:rPr>
                <w:b w:val="0"/>
                <w:sz w:val="14"/>
              </w:rPr>
              <w:t>Blocker route</w:t>
            </w:r>
          </w:p>
        </w:tc>
      </w:tr>
      <w:tr>
        <w:tc>
          <w:tcPr>
            <w:tcW w:type="dxa" w:w="2088"/>
            <w:vAlign w:val="center"/>
          </w:tcPr>
          <w:p>
            <w:pPr>
              <w:spacing w:after="0"/>
            </w:pPr>
            <w:r/>
            <w:r>
              <w:rPr>
                <w:b w:val="0"/>
                <w:sz w:val="14"/>
              </w:rPr>
              <w:t>Protected worker</w:t>
            </w:r>
          </w:p>
        </w:tc>
        <w:tc>
          <w:tcPr>
            <w:tcW w:type="dxa" w:w="3240"/>
            <w:vAlign w:val="center"/>
          </w:tcPr>
          <w:p>
            <w:pPr>
              <w:spacing w:after="0"/>
            </w:pPr>
            <w:r/>
            <w:r>
              <w:rPr>
                <w:b w:val="0"/>
                <w:sz w:val="14"/>
              </w:rPr>
              <w:t>Medical leave + termination</w:t>
            </w:r>
          </w:p>
        </w:tc>
        <w:tc>
          <w:tcPr>
            <w:tcW w:type="dxa" w:w="2880"/>
            <w:vAlign w:val="center"/>
          </w:tcPr>
          <w:p>
            <w:pPr>
              <w:spacing w:after="0"/>
            </w:pPr>
            <w:r/>
            <w:r>
              <w:rPr>
                <w:b w:val="0"/>
                <w:sz w:val="14"/>
              </w:rPr>
              <w:t>PROTECTED_MEDICAL_LEAVE</w:t>
            </w:r>
          </w:p>
        </w:tc>
        <w:tc>
          <w:tcPr>
            <w:tcW w:type="dxa" w:w="1872"/>
            <w:vAlign w:val="center"/>
          </w:tcPr>
          <w:p>
            <w:pPr>
              <w:spacing w:after="0"/>
            </w:pPr>
            <w:r/>
            <w:r>
              <w:rPr>
                <w:b w:val="0"/>
                <w:sz w:val="14"/>
              </w:rPr>
              <w:t>Blocker route</w:t>
            </w:r>
          </w:p>
        </w:tc>
      </w:tr>
      <w:tr>
        <w:tc>
          <w:tcPr>
            <w:tcW w:type="dxa" w:w="2088"/>
            <w:vAlign w:val="center"/>
          </w:tcPr>
          <w:p>
            <w:pPr>
              <w:spacing w:after="0"/>
            </w:pPr>
            <w:r/>
            <w:r>
              <w:rPr>
                <w:b w:val="0"/>
                <w:sz w:val="14"/>
              </w:rPr>
              <w:t>Risk case</w:t>
            </w:r>
          </w:p>
        </w:tc>
        <w:tc>
          <w:tcPr>
            <w:tcW w:type="dxa" w:w="3240"/>
            <w:vAlign w:val="center"/>
          </w:tcPr>
          <w:p>
            <w:pPr>
              <w:spacing w:after="0"/>
            </w:pPr>
            <w:r/>
            <w:r>
              <w:rPr>
                <w:b w:val="0"/>
                <w:sz w:val="14"/>
              </w:rPr>
              <w:t>Unpaid cotizaciones / nulidad</w:t>
            </w:r>
          </w:p>
        </w:tc>
        <w:tc>
          <w:tcPr>
            <w:tcW w:type="dxa" w:w="2880"/>
            <w:vAlign w:val="center"/>
          </w:tcPr>
          <w:p>
            <w:pPr>
              <w:spacing w:after="0"/>
            </w:pPr>
            <w:r/>
            <w:r>
              <w:rPr>
                <w:b w:val="0"/>
                <w:sz w:val="14"/>
              </w:rPr>
              <w:t>RISK_UNPAID_COTIZACIONES</w:t>
            </w:r>
          </w:p>
        </w:tc>
        <w:tc>
          <w:tcPr>
            <w:tcW w:type="dxa" w:w="1872"/>
            <w:vAlign w:val="center"/>
          </w:tcPr>
          <w:p>
            <w:pPr>
              <w:spacing w:after="0"/>
            </w:pPr>
            <w:r/>
            <w:r>
              <w:rPr>
                <w:b w:val="0"/>
                <w:sz w:val="14"/>
              </w:rPr>
              <w:t>Stage 2 exposure</w:t>
            </w:r>
          </w:p>
        </w:tc>
      </w:tr>
      <w:tr>
        <w:tc>
          <w:tcPr>
            <w:tcW w:type="dxa" w:w="2088"/>
            <w:vAlign w:val="center"/>
          </w:tcPr>
          <w:p>
            <w:pPr>
              <w:spacing w:after="0"/>
            </w:pPr>
            <w:r/>
            <w:r>
              <w:rPr>
                <w:b w:val="0"/>
                <w:sz w:val="14"/>
              </w:rPr>
              <w:t>Risk case</w:t>
            </w:r>
          </w:p>
        </w:tc>
        <w:tc>
          <w:tcPr>
            <w:tcW w:type="dxa" w:w="3240"/>
            <w:vAlign w:val="center"/>
          </w:tcPr>
          <w:p>
            <w:pPr>
              <w:spacing w:after="0"/>
            </w:pPr>
            <w:r/>
            <w:r>
              <w:rPr>
                <w:b w:val="0"/>
                <w:sz w:val="14"/>
              </w:rPr>
              <w:t>AFC offset review</w:t>
            </w:r>
          </w:p>
        </w:tc>
        <w:tc>
          <w:tcPr>
            <w:tcW w:type="dxa" w:w="2880"/>
            <w:vAlign w:val="center"/>
          </w:tcPr>
          <w:p>
            <w:pPr>
              <w:spacing w:after="0"/>
            </w:pPr>
            <w:r/>
            <w:r>
              <w:rPr>
                <w:b w:val="0"/>
                <w:sz w:val="14"/>
              </w:rPr>
              <w:t>RISK_AFC_OFFSET</w:t>
            </w:r>
          </w:p>
        </w:tc>
        <w:tc>
          <w:tcPr>
            <w:tcW w:type="dxa" w:w="1872"/>
            <w:vAlign w:val="center"/>
          </w:tcPr>
          <w:p>
            <w:pPr>
              <w:spacing w:after="0"/>
            </w:pPr>
            <w:r/>
            <w:r>
              <w:rPr>
                <w:b w:val="0"/>
                <w:sz w:val="14"/>
              </w:rPr>
              <w:t>Stage 2 blocker</w:t>
            </w:r>
          </w:p>
        </w:tc>
      </w:tr>
      <w:tr>
        <w:tc>
          <w:tcPr>
            <w:tcW w:type="dxa" w:w="2088"/>
            <w:vAlign w:val="center"/>
          </w:tcPr>
          <w:p>
            <w:pPr>
              <w:spacing w:after="0"/>
            </w:pPr>
            <w:r/>
            <w:r>
              <w:rPr>
                <w:b w:val="0"/>
                <w:sz w:val="14"/>
              </w:rPr>
              <w:t>Special regime</w:t>
            </w:r>
          </w:p>
        </w:tc>
        <w:tc>
          <w:tcPr>
            <w:tcW w:type="dxa" w:w="3240"/>
            <w:vAlign w:val="center"/>
          </w:tcPr>
          <w:p>
            <w:pPr>
              <w:spacing w:after="0"/>
            </w:pPr>
            <w:r/>
            <w:r>
              <w:rPr>
                <w:b w:val="0"/>
                <w:sz w:val="14"/>
              </w:rPr>
              <w:t>Honorarios recharacterization</w:t>
            </w:r>
          </w:p>
        </w:tc>
        <w:tc>
          <w:tcPr>
            <w:tcW w:type="dxa" w:w="2880"/>
            <w:vAlign w:val="center"/>
          </w:tcPr>
          <w:p>
            <w:pPr>
              <w:spacing w:after="0"/>
            </w:pPr>
            <w:r/>
            <w:r>
              <w:rPr>
                <w:b w:val="0"/>
                <w:sz w:val="14"/>
              </w:rPr>
              <w:t>SPECIAL_HONORARIOS</w:t>
            </w:r>
          </w:p>
        </w:tc>
        <w:tc>
          <w:tcPr>
            <w:tcW w:type="dxa" w:w="1872"/>
            <w:vAlign w:val="center"/>
          </w:tcPr>
          <w:p>
            <w:pPr>
              <w:spacing w:after="0"/>
            </w:pPr>
            <w:r/>
            <w:r>
              <w:rPr>
                <w:b w:val="0"/>
                <w:sz w:val="14"/>
              </w:rPr>
              <w:t>Stage 3 route</w:t>
            </w:r>
          </w:p>
        </w:tc>
      </w:tr>
      <w:tr>
        <w:tc>
          <w:tcPr>
            <w:tcW w:type="dxa" w:w="2088"/>
            <w:vAlign w:val="center"/>
          </w:tcPr>
          <w:p>
            <w:pPr>
              <w:spacing w:after="0"/>
            </w:pPr>
            <w:r/>
            <w:r>
              <w:rPr>
                <w:b w:val="0"/>
                <w:sz w:val="14"/>
              </w:rPr>
              <w:t>Special regime</w:t>
            </w:r>
          </w:p>
        </w:tc>
        <w:tc>
          <w:tcPr>
            <w:tcW w:type="dxa" w:w="3240"/>
            <w:vAlign w:val="center"/>
          </w:tcPr>
          <w:p>
            <w:pPr>
              <w:spacing w:after="0"/>
            </w:pPr>
            <w:r/>
            <w:r>
              <w:rPr>
                <w:b w:val="0"/>
                <w:sz w:val="14"/>
              </w:rPr>
              <w:t>Public-sector / contrata</w:t>
            </w:r>
          </w:p>
        </w:tc>
        <w:tc>
          <w:tcPr>
            <w:tcW w:type="dxa" w:w="2880"/>
            <w:vAlign w:val="center"/>
          </w:tcPr>
          <w:p>
            <w:pPr>
              <w:spacing w:after="0"/>
            </w:pPr>
            <w:r/>
            <w:r>
              <w:rPr>
                <w:b w:val="0"/>
                <w:sz w:val="14"/>
              </w:rPr>
              <w:t>SPECIAL_PUBLIC_SECTOR</w:t>
            </w:r>
          </w:p>
        </w:tc>
        <w:tc>
          <w:tcPr>
            <w:tcW w:type="dxa" w:w="1872"/>
            <w:vAlign w:val="center"/>
          </w:tcPr>
          <w:p>
            <w:pPr>
              <w:spacing w:after="0"/>
            </w:pPr>
            <w:r/>
            <w:r>
              <w:rPr>
                <w:b w:val="0"/>
                <w:sz w:val="14"/>
              </w:rPr>
              <w:t>Stage 3 route</w:t>
            </w:r>
          </w:p>
        </w:tc>
      </w:tr>
    </w:tbl>
    <w:p/>
    <w:p>
      <w:pPr>
        <w:pStyle w:val="Heading1"/>
      </w:pPr>
      <w:r>
        <w:t>4. Input tabs / screens</w:t>
      </w:r>
    </w:p>
    <w:tbl>
      <w:tblPr>
        <w:tblStyle w:val="TableGrid"/>
        <w:tblW w:type="auto" w:w="0"/>
        <w:jc w:val="center"/>
        <w:tblLook w:firstColumn="1" w:firstRow="1" w:lastColumn="0" w:lastRow="0" w:noHBand="0" w:noVBand="1" w:val="04A0"/>
      </w:tblPr>
      <w:tblGrid>
        <w:gridCol w:w="1800"/>
        <w:gridCol w:w="3744"/>
        <w:gridCol w:w="1800"/>
        <w:gridCol w:w="2736"/>
      </w:tblGrid>
      <w:tr>
        <w:tc>
          <w:tcPr>
            <w:tcW w:type="dxa" w:w="2556"/>
            <w:vAlign w:val="center"/>
            <w:shd w:fill="EAF2F8"/>
          </w:tcPr>
          <w:p>
            <w:pPr>
              <w:spacing w:after="0"/>
            </w:pPr>
            <w:r/>
            <w:r>
              <w:rPr>
                <w:b/>
                <w:sz w:val="16"/>
              </w:rPr>
              <w:t>Screen</w:t>
            </w:r>
          </w:p>
        </w:tc>
        <w:tc>
          <w:tcPr>
            <w:tcW w:type="dxa" w:w="2556"/>
            <w:vAlign w:val="center"/>
            <w:shd w:fill="EAF2F8"/>
          </w:tcPr>
          <w:p>
            <w:pPr>
              <w:spacing w:after="0"/>
            </w:pPr>
            <w:r/>
            <w:r>
              <w:rPr>
                <w:b/>
                <w:sz w:val="16"/>
              </w:rPr>
              <w:t>Purpose</w:t>
            </w:r>
          </w:p>
        </w:tc>
        <w:tc>
          <w:tcPr>
            <w:tcW w:type="dxa" w:w="2556"/>
            <w:vAlign w:val="center"/>
            <w:shd w:fill="EAF2F8"/>
          </w:tcPr>
          <w:p>
            <w:pPr>
              <w:spacing w:after="0"/>
            </w:pPr>
            <w:r/>
            <w:r>
              <w:rPr>
                <w:b/>
                <w:sz w:val="16"/>
              </w:rPr>
              <w:t>Always shown?</w:t>
            </w:r>
          </w:p>
        </w:tc>
        <w:tc>
          <w:tcPr>
            <w:tcW w:type="dxa" w:w="2556"/>
            <w:vAlign w:val="center"/>
            <w:shd w:fill="EAF2F8"/>
          </w:tcPr>
          <w:p>
            <w:pPr>
              <w:spacing w:after="0"/>
            </w:pPr>
            <w:r/>
            <w:r>
              <w:rPr>
                <w:b/>
                <w:sz w:val="16"/>
              </w:rPr>
              <w:t>Examples</w:t>
            </w:r>
          </w:p>
        </w:tc>
      </w:tr>
      <w:tr>
        <w:tc>
          <w:tcPr>
            <w:tcW w:type="dxa" w:w="1800"/>
            <w:vAlign w:val="center"/>
          </w:tcPr>
          <w:p>
            <w:pPr>
              <w:spacing w:after="0"/>
            </w:pPr>
            <w:r/>
            <w:r>
              <w:rPr>
                <w:b w:val="0"/>
                <w:sz w:val="14"/>
              </w:rPr>
              <w:t>Case Setup</w:t>
            </w:r>
          </w:p>
        </w:tc>
        <w:tc>
          <w:tcPr>
            <w:tcW w:type="dxa" w:w="3744"/>
            <w:vAlign w:val="center"/>
          </w:tcPr>
          <w:p>
            <w:pPr>
              <w:spacing w:after="0"/>
            </w:pPr>
            <w:r/>
            <w:r>
              <w:rPr>
                <w:b w:val="0"/>
                <w:sz w:val="14"/>
              </w:rPr>
              <w:t>Client, worker, legal regime, contract type, selected case option.</w:t>
            </w:r>
          </w:p>
        </w:tc>
        <w:tc>
          <w:tcPr>
            <w:tcW w:type="dxa" w:w="1800"/>
            <w:vAlign w:val="center"/>
          </w:tcPr>
          <w:p>
            <w:pPr>
              <w:spacing w:after="0"/>
            </w:pPr>
            <w:r/>
            <w:r>
              <w:rPr>
                <w:b w:val="0"/>
                <w:sz w:val="14"/>
              </w:rPr>
              <w:t>Yes</w:t>
            </w:r>
          </w:p>
        </w:tc>
        <w:tc>
          <w:tcPr>
            <w:tcW w:type="dxa" w:w="2736"/>
            <w:vAlign w:val="center"/>
          </w:tcPr>
          <w:p>
            <w:pPr>
              <w:spacing w:after="0"/>
            </w:pPr>
            <w:r/>
            <w:r>
              <w:rPr>
                <w:b w:val="0"/>
                <w:sz w:val="14"/>
              </w:rPr>
              <w:t>client_name, employee_name, start_date, end_date</w:t>
            </w:r>
          </w:p>
        </w:tc>
      </w:tr>
      <w:tr>
        <w:tc>
          <w:tcPr>
            <w:tcW w:type="dxa" w:w="1800"/>
            <w:vAlign w:val="center"/>
          </w:tcPr>
          <w:p>
            <w:pPr>
              <w:spacing w:after="0"/>
            </w:pPr>
            <w:r/>
            <w:r>
              <w:rPr>
                <w:b w:val="0"/>
                <w:sz w:val="14"/>
              </w:rPr>
              <w:t>Termination</w:t>
            </w:r>
          </w:p>
        </w:tc>
        <w:tc>
          <w:tcPr>
            <w:tcW w:type="dxa" w:w="3744"/>
            <w:vAlign w:val="center"/>
          </w:tcPr>
          <w:p>
            <w:pPr>
              <w:spacing w:after="0"/>
            </w:pPr>
            <w:r/>
            <w:r>
              <w:rPr>
                <w:b w:val="0"/>
                <w:sz w:val="14"/>
              </w:rPr>
              <w:t>Cause-specific facts and dates.</w:t>
            </w:r>
          </w:p>
        </w:tc>
        <w:tc>
          <w:tcPr>
            <w:tcW w:type="dxa" w:w="1800"/>
            <w:vAlign w:val="center"/>
          </w:tcPr>
          <w:p>
            <w:pPr>
              <w:spacing w:after="0"/>
            </w:pPr>
            <w:r/>
            <w:r>
              <w:rPr>
                <w:b w:val="0"/>
                <w:sz w:val="14"/>
              </w:rPr>
              <w:t>Yes</w:t>
            </w:r>
          </w:p>
        </w:tc>
        <w:tc>
          <w:tcPr>
            <w:tcW w:type="dxa" w:w="2736"/>
            <w:vAlign w:val="center"/>
          </w:tcPr>
          <w:p>
            <w:pPr>
              <w:spacing w:after="0"/>
            </w:pPr>
            <w:r/>
            <w:r>
              <w:rPr>
                <w:b w:val="0"/>
                <w:sz w:val="14"/>
              </w:rPr>
              <w:t>cause_code, notice_given, separation_date, delivery_method</w:t>
            </w:r>
          </w:p>
        </w:tc>
      </w:tr>
      <w:tr>
        <w:tc>
          <w:tcPr>
            <w:tcW w:type="dxa" w:w="1800"/>
            <w:vAlign w:val="center"/>
          </w:tcPr>
          <w:p>
            <w:pPr>
              <w:spacing w:after="0"/>
            </w:pPr>
            <w:r/>
            <w:r>
              <w:rPr>
                <w:b w:val="0"/>
                <w:sz w:val="14"/>
              </w:rPr>
              <w:t>Payroll</w:t>
            </w:r>
          </w:p>
        </w:tc>
        <w:tc>
          <w:tcPr>
            <w:tcW w:type="dxa" w:w="3744"/>
            <w:vAlign w:val="center"/>
          </w:tcPr>
          <w:p>
            <w:pPr>
              <w:spacing w:after="0"/>
            </w:pPr>
            <w:r/>
            <w:r>
              <w:rPr>
                <w:b w:val="0"/>
                <w:sz w:val="14"/>
              </w:rPr>
              <w:t>Amounts used for calculation.</w:t>
            </w:r>
          </w:p>
        </w:tc>
        <w:tc>
          <w:tcPr>
            <w:tcW w:type="dxa" w:w="1800"/>
            <w:vAlign w:val="center"/>
          </w:tcPr>
          <w:p>
            <w:pPr>
              <w:spacing w:after="0"/>
            </w:pPr>
            <w:r/>
            <w:r>
              <w:rPr>
                <w:b w:val="0"/>
                <w:sz w:val="14"/>
              </w:rPr>
              <w:t>Yes for calculation routes</w:t>
            </w:r>
          </w:p>
        </w:tc>
        <w:tc>
          <w:tcPr>
            <w:tcW w:type="dxa" w:w="2736"/>
            <w:vAlign w:val="center"/>
          </w:tcPr>
          <w:p>
            <w:pPr>
              <w:spacing w:after="0"/>
            </w:pPr>
            <w:r/>
            <w:r>
              <w:rPr>
                <w:b w:val="0"/>
                <w:sz w:val="14"/>
              </w:rPr>
              <w:t>salary, variables, bonuses, vacation, reimbursements</w:t>
            </w:r>
          </w:p>
        </w:tc>
      </w:tr>
      <w:tr>
        <w:tc>
          <w:tcPr>
            <w:tcW w:type="dxa" w:w="1800"/>
            <w:vAlign w:val="center"/>
          </w:tcPr>
          <w:p>
            <w:pPr>
              <w:spacing w:after="0"/>
            </w:pPr>
            <w:r/>
            <w:r>
              <w:rPr>
                <w:b w:val="0"/>
                <w:sz w:val="14"/>
              </w:rPr>
              <w:t>Evidence</w:t>
            </w:r>
          </w:p>
        </w:tc>
        <w:tc>
          <w:tcPr>
            <w:tcW w:type="dxa" w:w="3744"/>
            <w:vAlign w:val="center"/>
          </w:tcPr>
          <w:p>
            <w:pPr>
              <w:spacing w:after="0"/>
            </w:pPr>
            <w:r/>
            <w:r>
              <w:rPr>
                <w:b w:val="0"/>
                <w:sz w:val="14"/>
              </w:rPr>
              <w:t>Upload/check documents required by selected case.</w:t>
            </w:r>
          </w:p>
        </w:tc>
        <w:tc>
          <w:tcPr>
            <w:tcW w:type="dxa" w:w="1800"/>
            <w:vAlign w:val="center"/>
          </w:tcPr>
          <w:p>
            <w:pPr>
              <w:spacing w:after="0"/>
            </w:pPr>
            <w:r/>
            <w:r>
              <w:rPr>
                <w:b w:val="0"/>
                <w:sz w:val="14"/>
              </w:rPr>
              <w:t>Yes</w:t>
            </w:r>
          </w:p>
        </w:tc>
        <w:tc>
          <w:tcPr>
            <w:tcW w:type="dxa" w:w="2736"/>
            <w:vAlign w:val="center"/>
          </w:tcPr>
          <w:p>
            <w:pPr>
              <w:spacing w:after="0"/>
            </w:pPr>
            <w:r/>
            <w:r>
              <w:rPr>
                <w:b w:val="0"/>
                <w:sz w:val="14"/>
              </w:rPr>
              <w:t>contract, payslips, carta, DT filing, cotizaciones</w:t>
            </w:r>
          </w:p>
        </w:tc>
      </w:tr>
      <w:tr>
        <w:tc>
          <w:tcPr>
            <w:tcW w:type="dxa" w:w="1800"/>
            <w:vAlign w:val="center"/>
          </w:tcPr>
          <w:p>
            <w:pPr>
              <w:spacing w:after="0"/>
            </w:pPr>
            <w:r/>
            <w:r>
              <w:rPr>
                <w:b w:val="0"/>
                <w:sz w:val="14"/>
              </w:rPr>
              <w:t>Risk Flags</w:t>
            </w:r>
          </w:p>
        </w:tc>
        <w:tc>
          <w:tcPr>
            <w:tcW w:type="dxa" w:w="3744"/>
            <w:vAlign w:val="center"/>
          </w:tcPr>
          <w:p>
            <w:pPr>
              <w:spacing w:after="0"/>
            </w:pPr>
            <w:r/>
            <w:r>
              <w:rPr>
                <w:b w:val="0"/>
                <w:sz w:val="14"/>
              </w:rPr>
              <w:t>Protected status and special risk facts.</w:t>
            </w:r>
          </w:p>
        </w:tc>
        <w:tc>
          <w:tcPr>
            <w:tcW w:type="dxa" w:w="1800"/>
            <w:vAlign w:val="center"/>
          </w:tcPr>
          <w:p>
            <w:pPr>
              <w:spacing w:after="0"/>
            </w:pPr>
            <w:r/>
            <w:r>
              <w:rPr>
                <w:b w:val="0"/>
                <w:sz w:val="14"/>
              </w:rPr>
              <w:t>Yes</w:t>
            </w:r>
          </w:p>
        </w:tc>
        <w:tc>
          <w:tcPr>
            <w:tcW w:type="dxa" w:w="2736"/>
            <w:vAlign w:val="center"/>
          </w:tcPr>
          <w:p>
            <w:pPr>
              <w:spacing w:after="0"/>
            </w:pPr>
            <w:r/>
            <w:r>
              <w:rPr>
                <w:b w:val="0"/>
                <w:sz w:val="14"/>
              </w:rPr>
              <w:t>fuero, medical_leave, unpaid cotizaciones, AFC offset</w:t>
            </w:r>
          </w:p>
        </w:tc>
      </w:tr>
      <w:tr>
        <w:tc>
          <w:tcPr>
            <w:tcW w:type="dxa" w:w="1800"/>
            <w:vAlign w:val="center"/>
          </w:tcPr>
          <w:p>
            <w:pPr>
              <w:spacing w:after="0"/>
            </w:pPr>
            <w:r/>
            <w:r>
              <w:rPr>
                <w:b w:val="0"/>
                <w:sz w:val="14"/>
              </w:rPr>
              <w:t>Execution</w:t>
            </w:r>
          </w:p>
        </w:tc>
        <w:tc>
          <w:tcPr>
            <w:tcW w:type="dxa" w:w="3744"/>
            <w:vAlign w:val="center"/>
          </w:tcPr>
          <w:p>
            <w:pPr>
              <w:spacing w:after="0"/>
            </w:pPr>
            <w:r/>
            <w:r>
              <w:rPr>
                <w:b w:val="0"/>
                <w:sz w:val="14"/>
              </w:rPr>
              <w:t>Finiquito execution data.</w:t>
            </w:r>
          </w:p>
        </w:tc>
        <w:tc>
          <w:tcPr>
            <w:tcW w:type="dxa" w:w="1800"/>
            <w:vAlign w:val="center"/>
          </w:tcPr>
          <w:p>
            <w:pPr>
              <w:spacing w:after="0"/>
            </w:pPr>
            <w:r/>
            <w:r>
              <w:rPr>
                <w:b w:val="0"/>
                <w:sz w:val="14"/>
              </w:rPr>
              <w:t>Stage 2+</w:t>
            </w:r>
          </w:p>
        </w:tc>
        <w:tc>
          <w:tcPr>
            <w:tcW w:type="dxa" w:w="2736"/>
            <w:vAlign w:val="center"/>
          </w:tcPr>
          <w:p>
            <w:pPr>
              <w:spacing w:after="0"/>
            </w:pPr>
            <w:r/>
            <w:r>
              <w:rPr>
                <w:b w:val="0"/>
                <w:sz w:val="14"/>
              </w:rPr>
              <w:t>payment_date, signed, ratified, reservation</w:t>
            </w:r>
          </w:p>
        </w:tc>
      </w:tr>
      <w:tr>
        <w:tc>
          <w:tcPr>
            <w:tcW w:type="dxa" w:w="1800"/>
            <w:vAlign w:val="center"/>
          </w:tcPr>
          <w:p>
            <w:pPr>
              <w:spacing w:after="0"/>
            </w:pPr>
            <w:r/>
            <w:r>
              <w:rPr>
                <w:b w:val="0"/>
                <w:sz w:val="14"/>
              </w:rPr>
              <w:t>Scenarios</w:t>
            </w:r>
          </w:p>
        </w:tc>
        <w:tc>
          <w:tcPr>
            <w:tcW w:type="dxa" w:w="3744"/>
            <w:vAlign w:val="center"/>
          </w:tcPr>
          <w:p>
            <w:pPr>
              <w:spacing w:after="0"/>
            </w:pPr>
            <w:r/>
            <w:r>
              <w:rPr>
                <w:b w:val="0"/>
                <w:sz w:val="14"/>
              </w:rPr>
              <w:t>Run employer/challenge/worst case.</w:t>
            </w:r>
          </w:p>
        </w:tc>
        <w:tc>
          <w:tcPr>
            <w:tcW w:type="dxa" w:w="1800"/>
            <w:vAlign w:val="center"/>
          </w:tcPr>
          <w:p>
            <w:pPr>
              <w:spacing w:after="0"/>
            </w:pPr>
            <w:r/>
            <w:r>
              <w:rPr>
                <w:b w:val="0"/>
                <w:sz w:val="14"/>
              </w:rPr>
              <w:t>Stage 2+</w:t>
            </w:r>
          </w:p>
        </w:tc>
        <w:tc>
          <w:tcPr>
            <w:tcW w:type="dxa" w:w="2736"/>
            <w:vAlign w:val="center"/>
          </w:tcPr>
          <w:p>
            <w:pPr>
              <w:spacing w:after="0"/>
            </w:pPr>
            <w:r/>
            <w:r>
              <w:rPr>
                <w:b w:val="0"/>
                <w:sz w:val="14"/>
              </w:rPr>
              <w:t>scenario toggles</w:t>
            </w:r>
          </w:p>
        </w:tc>
      </w:tr>
      <w:tr>
        <w:tc>
          <w:tcPr>
            <w:tcW w:type="dxa" w:w="1800"/>
            <w:vAlign w:val="center"/>
          </w:tcPr>
          <w:p>
            <w:pPr>
              <w:spacing w:after="0"/>
            </w:pPr>
            <w:r/>
            <w:r>
              <w:rPr>
                <w:b w:val="0"/>
                <w:sz w:val="14"/>
              </w:rPr>
              <w:t>Report</w:t>
            </w:r>
          </w:p>
        </w:tc>
        <w:tc>
          <w:tcPr>
            <w:tcW w:type="dxa" w:w="3744"/>
            <w:vAlign w:val="center"/>
          </w:tcPr>
          <w:p>
            <w:pPr>
              <w:spacing w:after="0"/>
            </w:pPr>
            <w:r/>
            <w:r>
              <w:rPr>
                <w:b w:val="0"/>
                <w:sz w:val="14"/>
              </w:rPr>
              <w:t>Generate draft/approved output.</w:t>
            </w:r>
          </w:p>
        </w:tc>
        <w:tc>
          <w:tcPr>
            <w:tcW w:type="dxa" w:w="1800"/>
            <w:vAlign w:val="center"/>
          </w:tcPr>
          <w:p>
            <w:pPr>
              <w:spacing w:after="0"/>
            </w:pPr>
            <w:r/>
            <w:r>
              <w:rPr>
                <w:b w:val="0"/>
                <w:sz w:val="14"/>
              </w:rPr>
              <w:t>Yes</w:t>
            </w:r>
          </w:p>
        </w:tc>
        <w:tc>
          <w:tcPr>
            <w:tcW w:type="dxa" w:w="2736"/>
            <w:vAlign w:val="center"/>
          </w:tcPr>
          <w:p>
            <w:pPr>
              <w:spacing w:after="0"/>
            </w:pPr>
            <w:r/>
            <w:r>
              <w:rPr>
                <w:b w:val="0"/>
                <w:sz w:val="14"/>
              </w:rPr>
              <w:t>client report, partner packet</w:t>
            </w:r>
          </w:p>
        </w:tc>
      </w:tr>
    </w:tbl>
    <w:p/>
    <w:p>
      <w:pPr>
        <w:pStyle w:val="Heading1"/>
      </w:pPr>
      <w:r>
        <w:t>5. Dynamic input requirements by case type</w:t>
      </w:r>
    </w:p>
    <w:tbl>
      <w:tblPr>
        <w:tblStyle w:val="TableGrid"/>
        <w:tblW w:type="auto" w:w="0"/>
        <w:jc w:val="center"/>
        <w:tblLook w:firstColumn="1" w:firstRow="1" w:lastColumn="0" w:lastRow="0" w:noHBand="0" w:noVBand="1" w:val="04A0"/>
      </w:tblPr>
      <w:tblGrid>
        <w:gridCol w:w="2376"/>
        <w:gridCol w:w="3096"/>
        <w:gridCol w:w="3312"/>
        <w:gridCol w:w="1656"/>
      </w:tblGrid>
      <w:tr>
        <w:tc>
          <w:tcPr>
            <w:tcW w:type="dxa" w:w="2556"/>
            <w:vAlign w:val="center"/>
            <w:shd w:fill="EAF2F8"/>
          </w:tcPr>
          <w:p>
            <w:pPr>
              <w:spacing w:after="0"/>
            </w:pPr>
            <w:r/>
            <w:r>
              <w:rPr>
                <w:b/>
                <w:sz w:val="16"/>
              </w:rPr>
              <w:t>Case</w:t>
            </w:r>
          </w:p>
        </w:tc>
        <w:tc>
          <w:tcPr>
            <w:tcW w:type="dxa" w:w="2556"/>
            <w:vAlign w:val="center"/>
            <w:shd w:fill="EAF2F8"/>
          </w:tcPr>
          <w:p>
            <w:pPr>
              <w:spacing w:after="0"/>
            </w:pPr>
            <w:r/>
            <w:r>
              <w:rPr>
                <w:b/>
                <w:sz w:val="16"/>
              </w:rPr>
              <w:t>Required extra inputs</w:t>
            </w:r>
          </w:p>
        </w:tc>
        <w:tc>
          <w:tcPr>
            <w:tcW w:type="dxa" w:w="2556"/>
            <w:vAlign w:val="center"/>
            <w:shd w:fill="EAF2F8"/>
          </w:tcPr>
          <w:p>
            <w:pPr>
              <w:spacing w:after="0"/>
            </w:pPr>
            <w:r/>
            <w:r>
              <w:rPr>
                <w:b/>
                <w:sz w:val="16"/>
              </w:rPr>
              <w:t>Required evidence</w:t>
            </w:r>
          </w:p>
        </w:tc>
        <w:tc>
          <w:tcPr>
            <w:tcW w:type="dxa" w:w="2556"/>
            <w:vAlign w:val="center"/>
            <w:shd w:fill="EAF2F8"/>
          </w:tcPr>
          <w:p>
            <w:pPr>
              <w:spacing w:after="0"/>
            </w:pPr>
            <w:r/>
            <w:r>
              <w:rPr>
                <w:b/>
                <w:sz w:val="16"/>
              </w:rPr>
              <w:t>Blockers</w:t>
            </w:r>
          </w:p>
        </w:tc>
      </w:tr>
      <w:tr>
        <w:tc>
          <w:tcPr>
            <w:tcW w:type="dxa" w:w="2376"/>
            <w:vAlign w:val="center"/>
          </w:tcPr>
          <w:p>
            <w:pPr>
              <w:spacing w:after="0"/>
            </w:pPr>
            <w:r/>
            <w:r>
              <w:rPr>
                <w:b w:val="0"/>
                <w:sz w:val="13"/>
              </w:rPr>
              <w:t>PRIVATE_ART161_NEEDS</w:t>
            </w:r>
          </w:p>
        </w:tc>
        <w:tc>
          <w:tcPr>
            <w:tcW w:type="dxa" w:w="3096"/>
            <w:vAlign w:val="center"/>
          </w:tcPr>
          <w:p>
            <w:pPr>
              <w:spacing w:after="0"/>
            </w:pPr>
            <w:r/>
            <w:r>
              <w:rPr>
                <w:b w:val="0"/>
                <w:sz w:val="13"/>
              </w:rPr>
              <w:t>specific_business_reason, role_eliminated, replacement_expected, notice_given</w:t>
            </w:r>
          </w:p>
        </w:tc>
        <w:tc>
          <w:tcPr>
            <w:tcW w:type="dxa" w:w="3312"/>
            <w:vAlign w:val="center"/>
          </w:tcPr>
          <w:p>
            <w:pPr>
              <w:spacing w:after="0"/>
            </w:pPr>
            <w:r/>
            <w:r>
              <w:rPr>
                <w:b w:val="0"/>
                <w:sz w:val="13"/>
              </w:rPr>
              <w:t>carta, DT filing, org chart, business evidence, cotizaciones certificate</w:t>
            </w:r>
          </w:p>
        </w:tc>
        <w:tc>
          <w:tcPr>
            <w:tcW w:type="dxa" w:w="1656"/>
            <w:vAlign w:val="center"/>
          </w:tcPr>
          <w:p>
            <w:pPr>
              <w:spacing w:after="0"/>
            </w:pPr>
            <w:r/>
            <w:r>
              <w:rPr>
                <w:b w:val="0"/>
                <w:sz w:val="13"/>
              </w:rPr>
              <w:t>generic carta, no cotizaciones, fuero, medical leave</w:t>
            </w:r>
          </w:p>
        </w:tc>
      </w:tr>
      <w:tr>
        <w:tc>
          <w:tcPr>
            <w:tcW w:type="dxa" w:w="2376"/>
            <w:vAlign w:val="center"/>
          </w:tcPr>
          <w:p>
            <w:pPr>
              <w:spacing w:after="0"/>
            </w:pPr>
            <w:r/>
            <w:r>
              <w:rPr>
                <w:b w:val="0"/>
                <w:sz w:val="13"/>
              </w:rPr>
              <w:t>PRIVATE_ART161_DESAHUCIO</w:t>
            </w:r>
          </w:p>
        </w:tc>
        <w:tc>
          <w:tcPr>
            <w:tcW w:type="dxa" w:w="3096"/>
            <w:vAlign w:val="center"/>
          </w:tcPr>
          <w:p>
            <w:pPr>
              <w:spacing w:after="0"/>
            </w:pPr>
            <w:r/>
            <w:r>
              <w:rPr>
                <w:b w:val="0"/>
                <w:sz w:val="13"/>
              </w:rPr>
              <w:t>high_trust_role, notice_given</w:t>
            </w:r>
          </w:p>
        </w:tc>
        <w:tc>
          <w:tcPr>
            <w:tcW w:type="dxa" w:w="3312"/>
            <w:vAlign w:val="center"/>
          </w:tcPr>
          <w:p>
            <w:pPr>
              <w:spacing w:after="0"/>
            </w:pPr>
            <w:r/>
            <w:r>
              <w:rPr>
                <w:b w:val="0"/>
                <w:sz w:val="13"/>
              </w:rPr>
              <w:t>contract/cargo proof, carta, DT filing, cotizaciones certificate</w:t>
            </w:r>
          </w:p>
        </w:tc>
        <w:tc>
          <w:tcPr>
            <w:tcW w:type="dxa" w:w="1656"/>
            <w:vAlign w:val="center"/>
          </w:tcPr>
          <w:p>
            <w:pPr>
              <w:spacing w:after="0"/>
            </w:pPr>
            <w:r/>
            <w:r>
              <w:rPr>
                <w:b w:val="0"/>
                <w:sz w:val="13"/>
              </w:rPr>
              <w:t>not high-trust role, no cotizaciones</w:t>
            </w:r>
          </w:p>
        </w:tc>
      </w:tr>
      <w:tr>
        <w:tc>
          <w:tcPr>
            <w:tcW w:type="dxa" w:w="2376"/>
            <w:vAlign w:val="center"/>
          </w:tcPr>
          <w:p>
            <w:pPr>
              <w:spacing w:after="0"/>
            </w:pPr>
            <w:r/>
            <w:r>
              <w:rPr>
                <w:b w:val="0"/>
                <w:sz w:val="13"/>
              </w:rPr>
              <w:t>PRIVATE_ART160_DISCIPLINARY</w:t>
            </w:r>
          </w:p>
        </w:tc>
        <w:tc>
          <w:tcPr>
            <w:tcW w:type="dxa" w:w="3096"/>
            <w:vAlign w:val="center"/>
          </w:tcPr>
          <w:p>
            <w:pPr>
              <w:spacing w:after="0"/>
            </w:pPr>
            <w:r/>
            <w:r>
              <w:rPr>
                <w:b w:val="0"/>
                <w:sz w:val="13"/>
              </w:rPr>
              <w:t>incident_date, facts, investigation, proportionality</w:t>
            </w:r>
          </w:p>
        </w:tc>
        <w:tc>
          <w:tcPr>
            <w:tcW w:type="dxa" w:w="3312"/>
            <w:vAlign w:val="center"/>
          </w:tcPr>
          <w:p>
            <w:pPr>
              <w:spacing w:after="0"/>
            </w:pPr>
            <w:r/>
            <w:r>
              <w:rPr>
                <w:b w:val="0"/>
                <w:sz w:val="13"/>
              </w:rPr>
              <w:t>incident docs, witnesses, emails, carta, DT filing</w:t>
            </w:r>
          </w:p>
        </w:tc>
        <w:tc>
          <w:tcPr>
            <w:tcW w:type="dxa" w:w="1656"/>
            <w:vAlign w:val="center"/>
          </w:tcPr>
          <w:p>
            <w:pPr>
              <w:spacing w:after="0"/>
            </w:pPr>
            <w:r/>
            <w:r>
              <w:rPr>
                <w:b w:val="0"/>
                <w:sz w:val="13"/>
              </w:rPr>
              <w:t>generic facts, no evidence</w:t>
            </w:r>
          </w:p>
        </w:tc>
      </w:tr>
      <w:tr>
        <w:tc>
          <w:tcPr>
            <w:tcW w:type="dxa" w:w="2376"/>
            <w:vAlign w:val="center"/>
          </w:tcPr>
          <w:p>
            <w:pPr>
              <w:spacing w:after="0"/>
            </w:pPr>
            <w:r/>
            <w:r>
              <w:rPr>
                <w:b w:val="0"/>
                <w:sz w:val="13"/>
              </w:rPr>
              <w:t>PRIVATE_ART159_FIXED_TERM</w:t>
            </w:r>
          </w:p>
        </w:tc>
        <w:tc>
          <w:tcPr>
            <w:tcW w:type="dxa" w:w="3096"/>
            <w:vAlign w:val="center"/>
          </w:tcPr>
          <w:p>
            <w:pPr>
              <w:spacing w:after="0"/>
            </w:pPr>
            <w:r/>
            <w:r>
              <w:rPr>
                <w:b w:val="0"/>
                <w:sz w:val="13"/>
              </w:rPr>
              <w:t>contract_end_date, renewal_count</w:t>
            </w:r>
          </w:p>
        </w:tc>
        <w:tc>
          <w:tcPr>
            <w:tcW w:type="dxa" w:w="3312"/>
            <w:vAlign w:val="center"/>
          </w:tcPr>
          <w:p>
            <w:pPr>
              <w:spacing w:after="0"/>
            </w:pPr>
            <w:r/>
            <w:r>
              <w:rPr>
                <w:b w:val="0"/>
                <w:sz w:val="13"/>
              </w:rPr>
              <w:t>contract, renewals, carta</w:t>
            </w:r>
          </w:p>
        </w:tc>
        <w:tc>
          <w:tcPr>
            <w:tcW w:type="dxa" w:w="1656"/>
            <w:vAlign w:val="center"/>
          </w:tcPr>
          <w:p>
            <w:pPr>
              <w:spacing w:after="0"/>
            </w:pPr>
            <w:r/>
            <w:r>
              <w:rPr>
                <w:b w:val="0"/>
                <w:sz w:val="13"/>
              </w:rPr>
              <w:t>indefinite conversion risk</w:t>
            </w:r>
          </w:p>
        </w:tc>
      </w:tr>
      <w:tr>
        <w:tc>
          <w:tcPr>
            <w:tcW w:type="dxa" w:w="2376"/>
            <w:vAlign w:val="center"/>
          </w:tcPr>
          <w:p>
            <w:pPr>
              <w:spacing w:after="0"/>
            </w:pPr>
            <w:r/>
            <w:r>
              <w:rPr>
                <w:b w:val="0"/>
                <w:sz w:val="13"/>
              </w:rPr>
              <w:t>PRIVATE_ART159_WORK_SERVICE</w:t>
            </w:r>
          </w:p>
        </w:tc>
        <w:tc>
          <w:tcPr>
            <w:tcW w:type="dxa" w:w="3096"/>
            <w:vAlign w:val="center"/>
          </w:tcPr>
          <w:p>
            <w:pPr>
              <w:spacing w:after="0"/>
            </w:pPr>
            <w:r/>
            <w:r>
              <w:rPr>
                <w:b w:val="0"/>
                <w:sz w:val="13"/>
              </w:rPr>
              <w:t>work_defined, completion_date, months_worked</w:t>
            </w:r>
          </w:p>
        </w:tc>
        <w:tc>
          <w:tcPr>
            <w:tcW w:type="dxa" w:w="3312"/>
            <w:vAlign w:val="center"/>
          </w:tcPr>
          <w:p>
            <w:pPr>
              <w:spacing w:after="0"/>
            </w:pPr>
            <w:r/>
            <w:r>
              <w:rPr>
                <w:b w:val="0"/>
                <w:sz w:val="13"/>
              </w:rPr>
              <w:t>contract, work completion evidence, client/site acceptance</w:t>
            </w:r>
          </w:p>
        </w:tc>
        <w:tc>
          <w:tcPr>
            <w:tcW w:type="dxa" w:w="1656"/>
            <w:vAlign w:val="center"/>
          </w:tcPr>
          <w:p>
            <w:pPr>
              <w:spacing w:after="0"/>
            </w:pPr>
            <w:r/>
            <w:r>
              <w:rPr>
                <w:b w:val="0"/>
                <w:sz w:val="13"/>
              </w:rPr>
              <w:t>no completion proof</w:t>
            </w:r>
          </w:p>
        </w:tc>
      </w:tr>
      <w:tr>
        <w:tc>
          <w:tcPr>
            <w:tcW w:type="dxa" w:w="2376"/>
            <w:vAlign w:val="center"/>
          </w:tcPr>
          <w:p>
            <w:pPr>
              <w:spacing w:after="0"/>
            </w:pPr>
            <w:r/>
            <w:r>
              <w:rPr>
                <w:b w:val="0"/>
                <w:sz w:val="13"/>
              </w:rPr>
              <w:t>PRIVATE_ART159_RESIGNATION</w:t>
            </w:r>
          </w:p>
        </w:tc>
        <w:tc>
          <w:tcPr>
            <w:tcW w:type="dxa" w:w="3096"/>
            <w:vAlign w:val="center"/>
          </w:tcPr>
          <w:p>
            <w:pPr>
              <w:spacing w:after="0"/>
            </w:pPr>
            <w:r/>
            <w:r>
              <w:rPr>
                <w:b w:val="0"/>
                <w:sz w:val="13"/>
              </w:rPr>
              <w:t>resignation_date, voluntary_evidence</w:t>
            </w:r>
          </w:p>
        </w:tc>
        <w:tc>
          <w:tcPr>
            <w:tcW w:type="dxa" w:w="3312"/>
            <w:vAlign w:val="center"/>
          </w:tcPr>
          <w:p>
            <w:pPr>
              <w:spacing w:after="0"/>
            </w:pPr>
            <w:r/>
            <w:r>
              <w:rPr>
                <w:b w:val="0"/>
                <w:sz w:val="13"/>
              </w:rPr>
              <w:t>resignation letter, ratification/proof of voluntariness</w:t>
            </w:r>
          </w:p>
        </w:tc>
        <w:tc>
          <w:tcPr>
            <w:tcW w:type="dxa" w:w="1656"/>
            <w:vAlign w:val="center"/>
          </w:tcPr>
          <w:p>
            <w:pPr>
              <w:spacing w:after="0"/>
            </w:pPr>
            <w:r/>
            <w:r>
              <w:rPr>
                <w:b w:val="0"/>
                <w:sz w:val="13"/>
              </w:rPr>
              <w:t>coercion risk</w:t>
            </w:r>
          </w:p>
        </w:tc>
      </w:tr>
      <w:tr>
        <w:tc>
          <w:tcPr>
            <w:tcW w:type="dxa" w:w="2376"/>
            <w:vAlign w:val="center"/>
          </w:tcPr>
          <w:p>
            <w:pPr>
              <w:spacing w:after="0"/>
            </w:pPr>
            <w:r/>
            <w:r>
              <w:rPr>
                <w:b w:val="0"/>
                <w:sz w:val="13"/>
              </w:rPr>
              <w:t>PROTECTED_FUERO</w:t>
            </w:r>
          </w:p>
        </w:tc>
        <w:tc>
          <w:tcPr>
            <w:tcW w:type="dxa" w:w="3096"/>
            <w:vAlign w:val="center"/>
          </w:tcPr>
          <w:p>
            <w:pPr>
              <w:spacing w:after="0"/>
            </w:pPr>
            <w:r/>
            <w:r>
              <w:rPr>
                <w:b w:val="0"/>
                <w:sz w:val="13"/>
              </w:rPr>
              <w:t>fuero_type, authorization_status</w:t>
            </w:r>
          </w:p>
        </w:tc>
        <w:tc>
          <w:tcPr>
            <w:tcW w:type="dxa" w:w="3312"/>
            <w:vAlign w:val="center"/>
          </w:tcPr>
          <w:p>
            <w:pPr>
              <w:spacing w:after="0"/>
            </w:pPr>
            <w:r/>
            <w:r>
              <w:rPr>
                <w:b w:val="0"/>
                <w:sz w:val="13"/>
              </w:rPr>
              <w:t>fuero documents, court authorization if any</w:t>
            </w:r>
          </w:p>
        </w:tc>
        <w:tc>
          <w:tcPr>
            <w:tcW w:type="dxa" w:w="1656"/>
            <w:vAlign w:val="center"/>
          </w:tcPr>
          <w:p>
            <w:pPr>
              <w:spacing w:after="0"/>
            </w:pPr>
            <w:r/>
            <w:r>
              <w:rPr>
                <w:b w:val="0"/>
                <w:sz w:val="13"/>
              </w:rPr>
              <w:t>always block if no authorization</w:t>
            </w:r>
          </w:p>
        </w:tc>
      </w:tr>
      <w:tr>
        <w:tc>
          <w:tcPr>
            <w:tcW w:type="dxa" w:w="2376"/>
            <w:vAlign w:val="center"/>
          </w:tcPr>
          <w:p>
            <w:pPr>
              <w:spacing w:after="0"/>
            </w:pPr>
            <w:r/>
            <w:r>
              <w:rPr>
                <w:b w:val="0"/>
                <w:sz w:val="13"/>
              </w:rPr>
              <w:t>RISK_UNPAID_COTIZACIONES</w:t>
            </w:r>
          </w:p>
        </w:tc>
        <w:tc>
          <w:tcPr>
            <w:tcW w:type="dxa" w:w="3096"/>
            <w:vAlign w:val="center"/>
          </w:tcPr>
          <w:p>
            <w:pPr>
              <w:spacing w:after="0"/>
            </w:pPr>
            <w:r/>
            <w:r>
              <w:rPr>
                <w:b w:val="0"/>
                <w:sz w:val="13"/>
              </w:rPr>
              <w:t>unpaid_months, institutions, convalidation_date</w:t>
            </w:r>
          </w:p>
        </w:tc>
        <w:tc>
          <w:tcPr>
            <w:tcW w:type="dxa" w:w="3312"/>
            <w:vAlign w:val="center"/>
          </w:tcPr>
          <w:p>
            <w:pPr>
              <w:spacing w:after="0"/>
            </w:pPr>
            <w:r/>
            <w:r>
              <w:rPr>
                <w:b w:val="0"/>
                <w:sz w:val="13"/>
              </w:rPr>
              <w:t>AFP/health/AFC certificates, Previred</w:t>
            </w:r>
          </w:p>
        </w:tc>
        <w:tc>
          <w:tcPr>
            <w:tcW w:type="dxa" w:w="1656"/>
            <w:vAlign w:val="center"/>
          </w:tcPr>
          <w:p>
            <w:pPr>
              <w:spacing w:after="0"/>
            </w:pPr>
            <w:r/>
            <w:r>
              <w:rPr>
                <w:b w:val="0"/>
                <w:sz w:val="13"/>
              </w:rPr>
              <w:t>always high risk</w:t>
            </w:r>
          </w:p>
        </w:tc>
      </w:tr>
      <w:tr>
        <w:tc>
          <w:tcPr>
            <w:tcW w:type="dxa" w:w="2376"/>
            <w:vAlign w:val="center"/>
          </w:tcPr>
          <w:p>
            <w:pPr>
              <w:spacing w:after="0"/>
            </w:pPr>
            <w:r/>
            <w:r>
              <w:rPr>
                <w:b w:val="0"/>
                <w:sz w:val="13"/>
              </w:rPr>
              <w:t>SPECIAL_HONORARIOS</w:t>
            </w:r>
          </w:p>
        </w:tc>
        <w:tc>
          <w:tcPr>
            <w:tcW w:type="dxa" w:w="3096"/>
            <w:vAlign w:val="center"/>
          </w:tcPr>
          <w:p>
            <w:pPr>
              <w:spacing w:after="0"/>
            </w:pPr>
            <w:r/>
            <w:r>
              <w:rPr>
                <w:b w:val="0"/>
                <w:sz w:val="13"/>
              </w:rPr>
              <w:t>subordination factors</w:t>
            </w:r>
          </w:p>
        </w:tc>
        <w:tc>
          <w:tcPr>
            <w:tcW w:type="dxa" w:w="3312"/>
            <w:vAlign w:val="center"/>
          </w:tcPr>
          <w:p>
            <w:pPr>
              <w:spacing w:after="0"/>
            </w:pPr>
            <w:r/>
            <w:r>
              <w:rPr>
                <w:b w:val="0"/>
                <w:sz w:val="13"/>
              </w:rPr>
              <w:t>contract, boletas, emails, schedule, supervision proof</w:t>
            </w:r>
          </w:p>
        </w:tc>
        <w:tc>
          <w:tcPr>
            <w:tcW w:type="dxa" w:w="1656"/>
            <w:vAlign w:val="center"/>
          </w:tcPr>
          <w:p>
            <w:pPr>
              <w:spacing w:after="0"/>
            </w:pPr>
            <w:r/>
            <w:r>
              <w:rPr>
                <w:b w:val="0"/>
                <w:sz w:val="13"/>
              </w:rPr>
              <w:t>route to Stage 3</w:t>
            </w:r>
          </w:p>
        </w:tc>
      </w:tr>
      <w:tr>
        <w:tc>
          <w:tcPr>
            <w:tcW w:type="dxa" w:w="2376"/>
            <w:vAlign w:val="center"/>
          </w:tcPr>
          <w:p>
            <w:pPr>
              <w:spacing w:after="0"/>
            </w:pPr>
            <w:r/>
            <w:r>
              <w:rPr>
                <w:b w:val="0"/>
                <w:sz w:val="13"/>
              </w:rPr>
              <w:t>SPECIAL_PUBLIC_SECTOR</w:t>
            </w:r>
          </w:p>
        </w:tc>
        <w:tc>
          <w:tcPr>
            <w:tcW w:type="dxa" w:w="3096"/>
            <w:vAlign w:val="center"/>
          </w:tcPr>
          <w:p>
            <w:pPr>
              <w:spacing w:after="0"/>
            </w:pPr>
            <w:r/>
            <w:r>
              <w:rPr>
                <w:b w:val="0"/>
                <w:sz w:val="13"/>
              </w:rPr>
              <w:t>public regime, appointment/contrata act</w:t>
            </w:r>
          </w:p>
        </w:tc>
        <w:tc>
          <w:tcPr>
            <w:tcW w:type="dxa" w:w="3312"/>
            <w:vAlign w:val="center"/>
          </w:tcPr>
          <w:p>
            <w:pPr>
              <w:spacing w:after="0"/>
            </w:pPr>
            <w:r/>
            <w:r>
              <w:rPr>
                <w:b w:val="0"/>
                <w:sz w:val="13"/>
              </w:rPr>
              <w:t>administrative acts, renewal history</w:t>
            </w:r>
          </w:p>
        </w:tc>
        <w:tc>
          <w:tcPr>
            <w:tcW w:type="dxa" w:w="1656"/>
            <w:vAlign w:val="center"/>
          </w:tcPr>
          <w:p>
            <w:pPr>
              <w:spacing w:after="0"/>
            </w:pPr>
            <w:r/>
            <w:r>
              <w:rPr>
                <w:b w:val="0"/>
                <w:sz w:val="13"/>
              </w:rPr>
              <w:t>route to Stage 3</w:t>
            </w:r>
          </w:p>
        </w:tc>
      </w:tr>
    </w:tbl>
    <w:p/>
    <w:p>
      <w:pPr>
        <w:pStyle w:val="Heading1"/>
      </w:pPr>
      <w:r>
        <w:t>6. User workflow</w:t>
      </w:r>
    </w:p>
    <w:tbl>
      <w:tblPr>
        <w:tblStyle w:val="TableGrid"/>
        <w:tblW w:type="auto" w:w="0"/>
        <w:jc w:val="center"/>
        <w:tblLook w:firstColumn="1" w:firstRow="1" w:lastColumn="0" w:lastRow="0" w:noHBand="0" w:noVBand="1" w:val="04A0"/>
      </w:tblPr>
      <w:tblGrid>
        <w:gridCol w:w="648"/>
        <w:gridCol w:w="3096"/>
        <w:gridCol w:w="3528"/>
        <w:gridCol w:w="2808"/>
      </w:tblGrid>
      <w:tr>
        <w:tc>
          <w:tcPr>
            <w:tcW w:type="dxa" w:w="2556"/>
            <w:vAlign w:val="center"/>
            <w:shd w:fill="EAF2F8"/>
          </w:tcPr>
          <w:p>
            <w:pPr>
              <w:spacing w:after="0"/>
            </w:pPr>
            <w:r/>
            <w:r>
              <w:rPr>
                <w:b/>
                <w:sz w:val="16"/>
              </w:rPr>
              <w:t>Step</w:t>
            </w:r>
          </w:p>
        </w:tc>
        <w:tc>
          <w:tcPr>
            <w:tcW w:type="dxa" w:w="2556"/>
            <w:vAlign w:val="center"/>
            <w:shd w:fill="EAF2F8"/>
          </w:tcPr>
          <w:p>
            <w:pPr>
              <w:spacing w:after="0"/>
            </w:pPr>
            <w:r/>
            <w:r>
              <w:rPr>
                <w:b/>
                <w:sz w:val="16"/>
              </w:rPr>
              <w:t>UI action</w:t>
            </w:r>
          </w:p>
        </w:tc>
        <w:tc>
          <w:tcPr>
            <w:tcW w:type="dxa" w:w="2556"/>
            <w:vAlign w:val="center"/>
            <w:shd w:fill="EAF2F8"/>
          </w:tcPr>
          <w:p>
            <w:pPr>
              <w:spacing w:after="0"/>
            </w:pPr>
            <w:r/>
            <w:r>
              <w:rPr>
                <w:b/>
                <w:sz w:val="16"/>
              </w:rPr>
              <w:t>Backend action</w:t>
            </w:r>
          </w:p>
        </w:tc>
        <w:tc>
          <w:tcPr>
            <w:tcW w:type="dxa" w:w="2556"/>
            <w:vAlign w:val="center"/>
            <w:shd w:fill="EAF2F8"/>
          </w:tcPr>
          <w:p>
            <w:pPr>
              <w:spacing w:after="0"/>
            </w:pPr>
            <w:r/>
            <w:r>
              <w:rPr>
                <w:b/>
                <w:sz w:val="16"/>
              </w:rPr>
              <w:t>Result</w:t>
            </w:r>
          </w:p>
        </w:tc>
      </w:tr>
      <w:tr>
        <w:tc>
          <w:tcPr>
            <w:tcW w:type="dxa" w:w="648"/>
            <w:vAlign w:val="center"/>
          </w:tcPr>
          <w:p>
            <w:pPr>
              <w:spacing w:after="0"/>
            </w:pPr>
            <w:r/>
            <w:r>
              <w:rPr>
                <w:b w:val="0"/>
                <w:sz w:val="14"/>
              </w:rPr>
              <w:t>1</w:t>
            </w:r>
          </w:p>
        </w:tc>
        <w:tc>
          <w:tcPr>
            <w:tcW w:type="dxa" w:w="3096"/>
            <w:vAlign w:val="center"/>
          </w:tcPr>
          <w:p>
            <w:pPr>
              <w:spacing w:after="0"/>
            </w:pPr>
            <w:r/>
            <w:r>
              <w:rPr>
                <w:b w:val="0"/>
                <w:sz w:val="14"/>
              </w:rPr>
              <w:t>User opens Run Case menu.</w:t>
            </w:r>
          </w:p>
        </w:tc>
        <w:tc>
          <w:tcPr>
            <w:tcW w:type="dxa" w:w="3528"/>
            <w:vAlign w:val="center"/>
          </w:tcPr>
          <w:p>
            <w:pPr>
              <w:spacing w:after="0"/>
            </w:pPr>
            <w:r/>
            <w:r>
              <w:rPr>
                <w:b w:val="0"/>
                <w:sz w:val="14"/>
              </w:rPr>
              <w:t>GET /case-types</w:t>
            </w:r>
          </w:p>
        </w:tc>
        <w:tc>
          <w:tcPr>
            <w:tcW w:type="dxa" w:w="2808"/>
            <w:vAlign w:val="center"/>
          </w:tcPr>
          <w:p>
            <w:pPr>
              <w:spacing w:after="0"/>
            </w:pPr>
            <w:r/>
            <w:r>
              <w:rPr>
                <w:b w:val="0"/>
                <w:sz w:val="14"/>
              </w:rPr>
              <w:t>Menu options loaded.</w:t>
            </w:r>
          </w:p>
        </w:tc>
      </w:tr>
      <w:tr>
        <w:tc>
          <w:tcPr>
            <w:tcW w:type="dxa" w:w="648"/>
            <w:vAlign w:val="center"/>
          </w:tcPr>
          <w:p>
            <w:pPr>
              <w:spacing w:after="0"/>
            </w:pPr>
            <w:r/>
            <w:r>
              <w:rPr>
                <w:b w:val="0"/>
                <w:sz w:val="14"/>
              </w:rPr>
              <w:t>2</w:t>
            </w:r>
          </w:p>
        </w:tc>
        <w:tc>
          <w:tcPr>
            <w:tcW w:type="dxa" w:w="3096"/>
            <w:vAlign w:val="center"/>
          </w:tcPr>
          <w:p>
            <w:pPr>
              <w:spacing w:after="0"/>
            </w:pPr>
            <w:r/>
            <w:r>
              <w:rPr>
                <w:b w:val="0"/>
                <w:sz w:val="14"/>
              </w:rPr>
              <w:t>User selects case option.</w:t>
            </w:r>
          </w:p>
        </w:tc>
        <w:tc>
          <w:tcPr>
            <w:tcW w:type="dxa" w:w="3528"/>
            <w:vAlign w:val="center"/>
          </w:tcPr>
          <w:p>
            <w:pPr>
              <w:spacing w:after="0"/>
            </w:pPr>
            <w:r/>
            <w:r>
              <w:rPr>
                <w:b w:val="0"/>
                <w:sz w:val="14"/>
              </w:rPr>
              <w:t>GET /case-types/{code}/input-schema</w:t>
            </w:r>
          </w:p>
        </w:tc>
        <w:tc>
          <w:tcPr>
            <w:tcW w:type="dxa" w:w="2808"/>
            <w:vAlign w:val="center"/>
          </w:tcPr>
          <w:p>
            <w:pPr>
              <w:spacing w:after="0"/>
            </w:pPr>
            <w:r/>
            <w:r>
              <w:rPr>
                <w:b w:val="0"/>
                <w:sz w:val="14"/>
              </w:rPr>
              <w:t>Dynamic form generated.</w:t>
            </w:r>
          </w:p>
        </w:tc>
      </w:tr>
      <w:tr>
        <w:tc>
          <w:tcPr>
            <w:tcW w:type="dxa" w:w="648"/>
            <w:vAlign w:val="center"/>
          </w:tcPr>
          <w:p>
            <w:pPr>
              <w:spacing w:after="0"/>
            </w:pPr>
            <w:r/>
            <w:r>
              <w:rPr>
                <w:b w:val="0"/>
                <w:sz w:val="14"/>
              </w:rPr>
              <w:t>3</w:t>
            </w:r>
          </w:p>
        </w:tc>
        <w:tc>
          <w:tcPr>
            <w:tcW w:type="dxa" w:w="3096"/>
            <w:vAlign w:val="center"/>
          </w:tcPr>
          <w:p>
            <w:pPr>
              <w:spacing w:after="0"/>
            </w:pPr>
            <w:r/>
            <w:r>
              <w:rPr>
                <w:b w:val="0"/>
                <w:sz w:val="14"/>
              </w:rPr>
              <w:t>User enters required facts.</w:t>
            </w:r>
          </w:p>
        </w:tc>
        <w:tc>
          <w:tcPr>
            <w:tcW w:type="dxa" w:w="3528"/>
            <w:vAlign w:val="center"/>
          </w:tcPr>
          <w:p>
            <w:pPr>
              <w:spacing w:after="0"/>
            </w:pPr>
            <w:r/>
            <w:r>
              <w:rPr>
                <w:b w:val="0"/>
                <w:sz w:val="14"/>
              </w:rPr>
              <w:t>POST /cases</w:t>
            </w:r>
          </w:p>
        </w:tc>
        <w:tc>
          <w:tcPr>
            <w:tcW w:type="dxa" w:w="2808"/>
            <w:vAlign w:val="center"/>
          </w:tcPr>
          <w:p>
            <w:pPr>
              <w:spacing w:after="0"/>
            </w:pPr>
            <w:r/>
            <w:r>
              <w:rPr>
                <w:b w:val="0"/>
                <w:sz w:val="14"/>
              </w:rPr>
              <w:t>Draft case created.</w:t>
            </w:r>
          </w:p>
        </w:tc>
      </w:tr>
      <w:tr>
        <w:tc>
          <w:tcPr>
            <w:tcW w:type="dxa" w:w="648"/>
            <w:vAlign w:val="center"/>
          </w:tcPr>
          <w:p>
            <w:pPr>
              <w:spacing w:after="0"/>
            </w:pPr>
            <w:r/>
            <w:r>
              <w:rPr>
                <w:b w:val="0"/>
                <w:sz w:val="14"/>
              </w:rPr>
              <w:t>4</w:t>
            </w:r>
          </w:p>
        </w:tc>
        <w:tc>
          <w:tcPr>
            <w:tcW w:type="dxa" w:w="3096"/>
            <w:vAlign w:val="center"/>
          </w:tcPr>
          <w:p>
            <w:pPr>
              <w:spacing w:after="0"/>
            </w:pPr>
            <w:r/>
            <w:r>
              <w:rPr>
                <w:b w:val="0"/>
                <w:sz w:val="14"/>
              </w:rPr>
              <w:t>User uploads evidence.</w:t>
            </w:r>
          </w:p>
        </w:tc>
        <w:tc>
          <w:tcPr>
            <w:tcW w:type="dxa" w:w="3528"/>
            <w:vAlign w:val="center"/>
          </w:tcPr>
          <w:p>
            <w:pPr>
              <w:spacing w:after="0"/>
            </w:pPr>
            <w:r/>
            <w:r>
              <w:rPr>
                <w:b w:val="0"/>
                <w:sz w:val="14"/>
              </w:rPr>
              <w:t>POST /cases/{id}/evidence</w:t>
            </w:r>
          </w:p>
        </w:tc>
        <w:tc>
          <w:tcPr>
            <w:tcW w:type="dxa" w:w="2808"/>
            <w:vAlign w:val="center"/>
          </w:tcPr>
          <w:p>
            <w:pPr>
              <w:spacing w:after="0"/>
            </w:pPr>
            <w:r/>
            <w:r>
              <w:rPr>
                <w:b w:val="0"/>
                <w:sz w:val="14"/>
              </w:rPr>
              <w:t>Evidence manifest updated.</w:t>
            </w:r>
          </w:p>
        </w:tc>
      </w:tr>
      <w:tr>
        <w:tc>
          <w:tcPr>
            <w:tcW w:type="dxa" w:w="648"/>
            <w:vAlign w:val="center"/>
          </w:tcPr>
          <w:p>
            <w:pPr>
              <w:spacing w:after="0"/>
            </w:pPr>
            <w:r/>
            <w:r>
              <w:rPr>
                <w:b w:val="0"/>
                <w:sz w:val="14"/>
              </w:rPr>
              <w:t>5</w:t>
            </w:r>
          </w:p>
        </w:tc>
        <w:tc>
          <w:tcPr>
            <w:tcW w:type="dxa" w:w="3096"/>
            <w:vAlign w:val="center"/>
          </w:tcPr>
          <w:p>
            <w:pPr>
              <w:spacing w:after="0"/>
            </w:pPr>
            <w:r/>
            <w:r>
              <w:rPr>
                <w:b w:val="0"/>
                <w:sz w:val="14"/>
              </w:rPr>
              <w:t>User clicks Validate Case.</w:t>
            </w:r>
          </w:p>
        </w:tc>
        <w:tc>
          <w:tcPr>
            <w:tcW w:type="dxa" w:w="3528"/>
            <w:vAlign w:val="center"/>
          </w:tcPr>
          <w:p>
            <w:pPr>
              <w:spacing w:after="0"/>
            </w:pPr>
            <w:r/>
            <w:r>
              <w:rPr>
                <w:b w:val="0"/>
                <w:sz w:val="14"/>
              </w:rPr>
              <w:t>POST /cases/{id}/validate</w:t>
            </w:r>
          </w:p>
        </w:tc>
        <w:tc>
          <w:tcPr>
            <w:tcW w:type="dxa" w:w="2808"/>
            <w:vAlign w:val="center"/>
          </w:tcPr>
          <w:p>
            <w:pPr>
              <w:spacing w:after="0"/>
            </w:pPr>
            <w:r/>
            <w:r>
              <w:rPr>
                <w:b w:val="0"/>
                <w:sz w:val="14"/>
              </w:rPr>
              <w:t>Blockers/warnings/missing inputs shown.</w:t>
            </w:r>
          </w:p>
        </w:tc>
      </w:tr>
      <w:tr>
        <w:tc>
          <w:tcPr>
            <w:tcW w:type="dxa" w:w="648"/>
            <w:vAlign w:val="center"/>
          </w:tcPr>
          <w:p>
            <w:pPr>
              <w:spacing w:after="0"/>
            </w:pPr>
            <w:r/>
            <w:r>
              <w:rPr>
                <w:b w:val="0"/>
                <w:sz w:val="14"/>
              </w:rPr>
              <w:t>6</w:t>
            </w:r>
          </w:p>
        </w:tc>
        <w:tc>
          <w:tcPr>
            <w:tcW w:type="dxa" w:w="3096"/>
            <w:vAlign w:val="center"/>
          </w:tcPr>
          <w:p>
            <w:pPr>
              <w:spacing w:after="0"/>
            </w:pPr>
            <w:r/>
            <w:r>
              <w:rPr>
                <w:b w:val="0"/>
                <w:sz w:val="14"/>
              </w:rPr>
              <w:t>User fixes missing items or runs Draft Calculation.</w:t>
            </w:r>
          </w:p>
        </w:tc>
        <w:tc>
          <w:tcPr>
            <w:tcW w:type="dxa" w:w="3528"/>
            <w:vAlign w:val="center"/>
          </w:tcPr>
          <w:p>
            <w:pPr>
              <w:spacing w:after="0"/>
            </w:pPr>
            <w:r/>
            <w:r>
              <w:rPr>
                <w:b w:val="0"/>
                <w:sz w:val="14"/>
              </w:rPr>
              <w:t>POST /cases/{id}/calculate?mode=draft</w:t>
            </w:r>
          </w:p>
        </w:tc>
        <w:tc>
          <w:tcPr>
            <w:tcW w:type="dxa" w:w="2808"/>
            <w:vAlign w:val="center"/>
          </w:tcPr>
          <w:p>
            <w:pPr>
              <w:spacing w:after="0"/>
            </w:pPr>
            <w:r/>
            <w:r>
              <w:rPr>
                <w:b w:val="0"/>
                <w:sz w:val="14"/>
              </w:rPr>
              <w:t>Draft output with warnings.</w:t>
            </w:r>
          </w:p>
        </w:tc>
      </w:tr>
      <w:tr>
        <w:tc>
          <w:tcPr>
            <w:tcW w:type="dxa" w:w="648"/>
            <w:vAlign w:val="center"/>
          </w:tcPr>
          <w:p>
            <w:pPr>
              <w:spacing w:after="0"/>
            </w:pPr>
            <w:r/>
            <w:r>
              <w:rPr>
                <w:b w:val="0"/>
                <w:sz w:val="14"/>
              </w:rPr>
              <w:t>7</w:t>
            </w:r>
          </w:p>
        </w:tc>
        <w:tc>
          <w:tcPr>
            <w:tcW w:type="dxa" w:w="3096"/>
            <w:vAlign w:val="center"/>
          </w:tcPr>
          <w:p>
            <w:pPr>
              <w:spacing w:after="0"/>
            </w:pPr>
            <w:r/>
            <w:r>
              <w:rPr>
                <w:b w:val="0"/>
                <w:sz w:val="14"/>
              </w:rPr>
              <w:t>Lawyer clicks Run Final Review.</w:t>
            </w:r>
          </w:p>
        </w:tc>
        <w:tc>
          <w:tcPr>
            <w:tcW w:type="dxa" w:w="3528"/>
            <w:vAlign w:val="center"/>
          </w:tcPr>
          <w:p>
            <w:pPr>
              <w:spacing w:after="0"/>
            </w:pPr>
            <w:r/>
            <w:r>
              <w:rPr>
                <w:b w:val="0"/>
                <w:sz w:val="14"/>
              </w:rPr>
              <w:t>POST /cases/{id}/run-workflow</w:t>
            </w:r>
          </w:p>
        </w:tc>
        <w:tc>
          <w:tcPr>
            <w:tcW w:type="dxa" w:w="2808"/>
            <w:vAlign w:val="center"/>
          </w:tcPr>
          <w:p>
            <w:pPr>
              <w:spacing w:after="0"/>
            </w:pPr>
            <w:r/>
            <w:r>
              <w:rPr>
                <w:b w:val="0"/>
                <w:sz w:val="14"/>
              </w:rPr>
              <w:t>Proof gate + calculation + scenarios.</w:t>
            </w:r>
          </w:p>
        </w:tc>
      </w:tr>
      <w:tr>
        <w:tc>
          <w:tcPr>
            <w:tcW w:type="dxa" w:w="648"/>
            <w:vAlign w:val="center"/>
          </w:tcPr>
          <w:p>
            <w:pPr>
              <w:spacing w:after="0"/>
            </w:pPr>
            <w:r/>
            <w:r>
              <w:rPr>
                <w:b w:val="0"/>
                <w:sz w:val="14"/>
              </w:rPr>
              <w:t>8</w:t>
            </w:r>
          </w:p>
        </w:tc>
        <w:tc>
          <w:tcPr>
            <w:tcW w:type="dxa" w:w="3096"/>
            <w:vAlign w:val="center"/>
          </w:tcPr>
          <w:p>
            <w:pPr>
              <w:spacing w:after="0"/>
            </w:pPr>
            <w:r/>
            <w:r>
              <w:rPr>
                <w:b w:val="0"/>
                <w:sz w:val="14"/>
              </w:rPr>
              <w:t>Partner approves.</w:t>
            </w:r>
          </w:p>
        </w:tc>
        <w:tc>
          <w:tcPr>
            <w:tcW w:type="dxa" w:w="3528"/>
            <w:vAlign w:val="center"/>
          </w:tcPr>
          <w:p>
            <w:pPr>
              <w:spacing w:after="0"/>
            </w:pPr>
            <w:r/>
            <w:r>
              <w:rPr>
                <w:b w:val="0"/>
                <w:sz w:val="14"/>
              </w:rPr>
              <w:t>POST /cases/{id}/approve</w:t>
            </w:r>
          </w:p>
        </w:tc>
        <w:tc>
          <w:tcPr>
            <w:tcW w:type="dxa" w:w="2808"/>
            <w:vAlign w:val="center"/>
          </w:tcPr>
          <w:p>
            <w:pPr>
              <w:spacing w:after="0"/>
            </w:pPr>
            <w:r/>
            <w:r>
              <w:rPr>
                <w:b w:val="0"/>
                <w:sz w:val="14"/>
              </w:rPr>
              <w:t>Approved report enabled.</w:t>
            </w:r>
          </w:p>
        </w:tc>
      </w:tr>
      <w:tr>
        <w:tc>
          <w:tcPr>
            <w:tcW w:type="dxa" w:w="648"/>
            <w:vAlign w:val="center"/>
          </w:tcPr>
          <w:p>
            <w:pPr>
              <w:spacing w:after="0"/>
            </w:pPr>
            <w:r/>
            <w:r>
              <w:rPr>
                <w:b w:val="0"/>
                <w:sz w:val="14"/>
              </w:rPr>
              <w:t>9</w:t>
            </w:r>
          </w:p>
        </w:tc>
        <w:tc>
          <w:tcPr>
            <w:tcW w:type="dxa" w:w="3096"/>
            <w:vAlign w:val="center"/>
          </w:tcPr>
          <w:p>
            <w:pPr>
              <w:spacing w:after="0"/>
            </w:pPr>
            <w:r/>
            <w:r>
              <w:rPr>
                <w:b w:val="0"/>
                <w:sz w:val="14"/>
              </w:rPr>
              <w:t>User exports report.</w:t>
            </w:r>
          </w:p>
        </w:tc>
        <w:tc>
          <w:tcPr>
            <w:tcW w:type="dxa" w:w="3528"/>
            <w:vAlign w:val="center"/>
          </w:tcPr>
          <w:p>
            <w:pPr>
              <w:spacing w:after="0"/>
            </w:pPr>
            <w:r/>
            <w:r>
              <w:rPr>
                <w:b w:val="0"/>
                <w:sz w:val="14"/>
              </w:rPr>
              <w:t>GET /cases/{id}/report</w:t>
            </w:r>
          </w:p>
        </w:tc>
        <w:tc>
          <w:tcPr>
            <w:tcW w:type="dxa" w:w="2808"/>
            <w:vAlign w:val="center"/>
          </w:tcPr>
          <w:p>
            <w:pPr>
              <w:spacing w:after="0"/>
            </w:pPr>
            <w:r/>
            <w:r>
              <w:rPr>
                <w:b w:val="0"/>
                <w:sz w:val="14"/>
              </w:rPr>
              <w:t>Client report / partner packet.</w:t>
            </w:r>
          </w:p>
        </w:tc>
      </w:tr>
    </w:tbl>
    <w:p/>
    <w:p>
      <w:pPr>
        <w:pStyle w:val="Heading1"/>
      </w:pPr>
      <w:r>
        <w:t>7. API design</w:t>
      </w:r>
    </w:p>
    <w:tbl>
      <w:tblPr>
        <w:tblStyle w:val="TableGrid"/>
        <w:tblW w:type="auto" w:w="0"/>
        <w:jc w:val="center"/>
        <w:tblLook w:firstColumn="1" w:firstRow="1" w:lastColumn="0" w:lastRow="0" w:noHBand="0" w:noVBand="1" w:val="04A0"/>
      </w:tblPr>
      <w:tblGrid>
        <w:gridCol w:w="3528"/>
        <w:gridCol w:w="1080"/>
        <w:gridCol w:w="5472"/>
      </w:tblGrid>
      <w:tr>
        <w:tc>
          <w:tcPr>
            <w:tcW w:type="dxa" w:w="3408"/>
            <w:vAlign w:val="center"/>
            <w:shd w:fill="EAF2F8"/>
          </w:tcPr>
          <w:p>
            <w:pPr>
              <w:spacing w:after="0"/>
            </w:pPr>
            <w:r/>
            <w:r>
              <w:rPr>
                <w:b/>
                <w:sz w:val="16"/>
              </w:rPr>
              <w:t>Endpoint</w:t>
            </w:r>
          </w:p>
        </w:tc>
        <w:tc>
          <w:tcPr>
            <w:tcW w:type="dxa" w:w="3408"/>
            <w:vAlign w:val="center"/>
            <w:shd w:fill="EAF2F8"/>
          </w:tcPr>
          <w:p>
            <w:pPr>
              <w:spacing w:after="0"/>
            </w:pPr>
            <w:r/>
            <w:r>
              <w:rPr>
                <w:b/>
                <w:sz w:val="16"/>
              </w:rPr>
              <w:t>Method</w:t>
            </w:r>
          </w:p>
        </w:tc>
        <w:tc>
          <w:tcPr>
            <w:tcW w:type="dxa" w:w="3408"/>
            <w:vAlign w:val="center"/>
            <w:shd w:fill="EAF2F8"/>
          </w:tcPr>
          <w:p>
            <w:pPr>
              <w:spacing w:after="0"/>
            </w:pPr>
            <w:r/>
            <w:r>
              <w:rPr>
                <w:b/>
                <w:sz w:val="16"/>
              </w:rPr>
              <w:t>Purpose</w:t>
            </w:r>
          </w:p>
        </w:tc>
      </w:tr>
      <w:tr>
        <w:tc>
          <w:tcPr>
            <w:tcW w:type="dxa" w:w="3528"/>
            <w:vAlign w:val="center"/>
          </w:tcPr>
          <w:p>
            <w:pPr>
              <w:spacing w:after="0"/>
            </w:pPr>
            <w:r/>
            <w:r>
              <w:rPr>
                <w:b w:val="0"/>
                <w:sz w:val="15"/>
              </w:rPr>
              <w:t>/case-types</w:t>
            </w:r>
          </w:p>
        </w:tc>
        <w:tc>
          <w:tcPr>
            <w:tcW w:type="dxa" w:w="1080"/>
            <w:vAlign w:val="center"/>
          </w:tcPr>
          <w:p>
            <w:pPr>
              <w:spacing w:after="0"/>
            </w:pPr>
            <w:r/>
            <w:r>
              <w:rPr>
                <w:b w:val="0"/>
                <w:sz w:val="15"/>
              </w:rPr>
              <w:t>GET</w:t>
            </w:r>
          </w:p>
        </w:tc>
        <w:tc>
          <w:tcPr>
            <w:tcW w:type="dxa" w:w="5472"/>
            <w:vAlign w:val="center"/>
          </w:tcPr>
          <w:p>
            <w:pPr>
              <w:spacing w:after="0"/>
            </w:pPr>
            <w:r/>
            <w:r>
              <w:rPr>
                <w:b w:val="0"/>
                <w:sz w:val="15"/>
              </w:rPr>
              <w:t>Return menu groups and case options.</w:t>
            </w:r>
          </w:p>
        </w:tc>
      </w:tr>
      <w:tr>
        <w:tc>
          <w:tcPr>
            <w:tcW w:type="dxa" w:w="3528"/>
            <w:vAlign w:val="center"/>
          </w:tcPr>
          <w:p>
            <w:pPr>
              <w:spacing w:after="0"/>
            </w:pPr>
            <w:r/>
            <w:r>
              <w:rPr>
                <w:b w:val="0"/>
                <w:sz w:val="15"/>
              </w:rPr>
              <w:t>/case-types/{code}/input-schema</w:t>
            </w:r>
          </w:p>
        </w:tc>
        <w:tc>
          <w:tcPr>
            <w:tcW w:type="dxa" w:w="1080"/>
            <w:vAlign w:val="center"/>
          </w:tcPr>
          <w:p>
            <w:pPr>
              <w:spacing w:after="0"/>
            </w:pPr>
            <w:r/>
            <w:r>
              <w:rPr>
                <w:b w:val="0"/>
                <w:sz w:val="15"/>
              </w:rPr>
              <w:t>GET</w:t>
            </w:r>
          </w:p>
        </w:tc>
        <w:tc>
          <w:tcPr>
            <w:tcW w:type="dxa" w:w="5472"/>
            <w:vAlign w:val="center"/>
          </w:tcPr>
          <w:p>
            <w:pPr>
              <w:spacing w:after="0"/>
            </w:pPr>
            <w:r/>
            <w:r>
              <w:rPr>
                <w:b w:val="0"/>
                <w:sz w:val="15"/>
              </w:rPr>
              <w:t>Return dynamic input schema for selected case type.</w:t>
            </w:r>
          </w:p>
        </w:tc>
      </w:tr>
      <w:tr>
        <w:tc>
          <w:tcPr>
            <w:tcW w:type="dxa" w:w="3528"/>
            <w:vAlign w:val="center"/>
          </w:tcPr>
          <w:p>
            <w:pPr>
              <w:spacing w:after="0"/>
            </w:pPr>
            <w:r/>
            <w:r>
              <w:rPr>
                <w:b w:val="0"/>
                <w:sz w:val="15"/>
              </w:rPr>
              <w:t>/cases</w:t>
            </w:r>
          </w:p>
        </w:tc>
        <w:tc>
          <w:tcPr>
            <w:tcW w:type="dxa" w:w="1080"/>
            <w:vAlign w:val="center"/>
          </w:tcPr>
          <w:p>
            <w:pPr>
              <w:spacing w:after="0"/>
            </w:pPr>
            <w:r/>
            <w:r>
              <w:rPr>
                <w:b w:val="0"/>
                <w:sz w:val="15"/>
              </w:rPr>
              <w:t>POST</w:t>
            </w:r>
          </w:p>
        </w:tc>
        <w:tc>
          <w:tcPr>
            <w:tcW w:type="dxa" w:w="5472"/>
            <w:vAlign w:val="center"/>
          </w:tcPr>
          <w:p>
            <w:pPr>
              <w:spacing w:after="0"/>
            </w:pPr>
            <w:r/>
            <w:r>
              <w:rPr>
                <w:b w:val="0"/>
                <w:sz w:val="15"/>
              </w:rPr>
              <w:t>Create case from selected type and base inputs.</w:t>
            </w:r>
          </w:p>
        </w:tc>
      </w:tr>
      <w:tr>
        <w:tc>
          <w:tcPr>
            <w:tcW w:type="dxa" w:w="3528"/>
            <w:vAlign w:val="center"/>
          </w:tcPr>
          <w:p>
            <w:pPr>
              <w:spacing w:after="0"/>
            </w:pPr>
            <w:r/>
            <w:r>
              <w:rPr>
                <w:b w:val="0"/>
                <w:sz w:val="15"/>
              </w:rPr>
              <w:t>/cases/{id}/evidence</w:t>
            </w:r>
          </w:p>
        </w:tc>
        <w:tc>
          <w:tcPr>
            <w:tcW w:type="dxa" w:w="1080"/>
            <w:vAlign w:val="center"/>
          </w:tcPr>
          <w:p>
            <w:pPr>
              <w:spacing w:after="0"/>
            </w:pPr>
            <w:r/>
            <w:r>
              <w:rPr>
                <w:b w:val="0"/>
                <w:sz w:val="15"/>
              </w:rPr>
              <w:t>POST</w:t>
            </w:r>
          </w:p>
        </w:tc>
        <w:tc>
          <w:tcPr>
            <w:tcW w:type="dxa" w:w="5472"/>
            <w:vAlign w:val="center"/>
          </w:tcPr>
          <w:p>
            <w:pPr>
              <w:spacing w:after="0"/>
            </w:pPr>
            <w:r/>
            <w:r>
              <w:rPr>
                <w:b w:val="0"/>
                <w:sz w:val="15"/>
              </w:rPr>
              <w:t>Upload/register evidence item.</w:t>
            </w:r>
          </w:p>
        </w:tc>
      </w:tr>
      <w:tr>
        <w:tc>
          <w:tcPr>
            <w:tcW w:type="dxa" w:w="3528"/>
            <w:vAlign w:val="center"/>
          </w:tcPr>
          <w:p>
            <w:pPr>
              <w:spacing w:after="0"/>
            </w:pPr>
            <w:r/>
            <w:r>
              <w:rPr>
                <w:b w:val="0"/>
                <w:sz w:val="15"/>
              </w:rPr>
              <w:t>/cases/{id}/validate</w:t>
            </w:r>
          </w:p>
        </w:tc>
        <w:tc>
          <w:tcPr>
            <w:tcW w:type="dxa" w:w="1080"/>
            <w:vAlign w:val="center"/>
          </w:tcPr>
          <w:p>
            <w:pPr>
              <w:spacing w:after="0"/>
            </w:pPr>
            <w:r/>
            <w:r>
              <w:rPr>
                <w:b w:val="0"/>
                <w:sz w:val="15"/>
              </w:rPr>
              <w:t>POST</w:t>
            </w:r>
          </w:p>
        </w:tc>
        <w:tc>
          <w:tcPr>
            <w:tcW w:type="dxa" w:w="5472"/>
            <w:vAlign w:val="center"/>
          </w:tcPr>
          <w:p>
            <w:pPr>
              <w:spacing w:after="0"/>
            </w:pPr>
            <w:r/>
            <w:r>
              <w:rPr>
                <w:b w:val="0"/>
                <w:sz w:val="15"/>
              </w:rPr>
              <w:t>Validate required fields/evidence/blockers for selected type.</w:t>
            </w:r>
          </w:p>
        </w:tc>
      </w:tr>
      <w:tr>
        <w:tc>
          <w:tcPr>
            <w:tcW w:type="dxa" w:w="3528"/>
            <w:vAlign w:val="center"/>
          </w:tcPr>
          <w:p>
            <w:pPr>
              <w:spacing w:after="0"/>
            </w:pPr>
            <w:r/>
            <w:r>
              <w:rPr>
                <w:b w:val="0"/>
                <w:sz w:val="15"/>
              </w:rPr>
              <w:t>/cases/{id}/calculate</w:t>
            </w:r>
          </w:p>
        </w:tc>
        <w:tc>
          <w:tcPr>
            <w:tcW w:type="dxa" w:w="1080"/>
            <w:vAlign w:val="center"/>
          </w:tcPr>
          <w:p>
            <w:pPr>
              <w:spacing w:after="0"/>
            </w:pPr>
            <w:r/>
            <w:r>
              <w:rPr>
                <w:b w:val="0"/>
                <w:sz w:val="15"/>
              </w:rPr>
              <w:t>POST</w:t>
            </w:r>
          </w:p>
        </w:tc>
        <w:tc>
          <w:tcPr>
            <w:tcW w:type="dxa" w:w="5472"/>
            <w:vAlign w:val="center"/>
          </w:tcPr>
          <w:p>
            <w:pPr>
              <w:spacing w:after="0"/>
            </w:pPr>
            <w:r/>
            <w:r>
              <w:rPr>
                <w:b w:val="0"/>
                <w:sz w:val="15"/>
              </w:rPr>
              <w:t>Run draft or final calculation depending validation status.</w:t>
            </w:r>
          </w:p>
        </w:tc>
      </w:tr>
      <w:tr>
        <w:tc>
          <w:tcPr>
            <w:tcW w:type="dxa" w:w="3528"/>
            <w:vAlign w:val="center"/>
          </w:tcPr>
          <w:p>
            <w:pPr>
              <w:spacing w:after="0"/>
            </w:pPr>
            <w:r/>
            <w:r>
              <w:rPr>
                <w:b w:val="0"/>
                <w:sz w:val="15"/>
              </w:rPr>
              <w:t>/cases/{id}/run-workflow</w:t>
            </w:r>
          </w:p>
        </w:tc>
        <w:tc>
          <w:tcPr>
            <w:tcW w:type="dxa" w:w="1080"/>
            <w:vAlign w:val="center"/>
          </w:tcPr>
          <w:p>
            <w:pPr>
              <w:spacing w:after="0"/>
            </w:pPr>
            <w:r/>
            <w:r>
              <w:rPr>
                <w:b w:val="0"/>
                <w:sz w:val="15"/>
              </w:rPr>
              <w:t>POST</w:t>
            </w:r>
          </w:p>
        </w:tc>
        <w:tc>
          <w:tcPr>
            <w:tcW w:type="dxa" w:w="5472"/>
            <w:vAlign w:val="center"/>
          </w:tcPr>
          <w:p>
            <w:pPr>
              <w:spacing w:after="0"/>
            </w:pPr>
            <w:r/>
            <w:r>
              <w:rPr>
                <w:b w:val="0"/>
                <w:sz w:val="15"/>
              </w:rPr>
              <w:t>Run stage-specific workflow: proof gate, tax review, scenarios.</w:t>
            </w:r>
          </w:p>
        </w:tc>
      </w:tr>
      <w:tr>
        <w:tc>
          <w:tcPr>
            <w:tcW w:type="dxa" w:w="3528"/>
            <w:vAlign w:val="center"/>
          </w:tcPr>
          <w:p>
            <w:pPr>
              <w:spacing w:after="0"/>
            </w:pPr>
            <w:r/>
            <w:r>
              <w:rPr>
                <w:b w:val="0"/>
                <w:sz w:val="15"/>
              </w:rPr>
              <w:t>/cases/{id}/approve</w:t>
            </w:r>
          </w:p>
        </w:tc>
        <w:tc>
          <w:tcPr>
            <w:tcW w:type="dxa" w:w="1080"/>
            <w:vAlign w:val="center"/>
          </w:tcPr>
          <w:p>
            <w:pPr>
              <w:spacing w:after="0"/>
            </w:pPr>
            <w:r/>
            <w:r>
              <w:rPr>
                <w:b w:val="0"/>
                <w:sz w:val="15"/>
              </w:rPr>
              <w:t>POST</w:t>
            </w:r>
          </w:p>
        </w:tc>
        <w:tc>
          <w:tcPr>
            <w:tcW w:type="dxa" w:w="5472"/>
            <w:vAlign w:val="center"/>
          </w:tcPr>
          <w:p>
            <w:pPr>
              <w:spacing w:after="0"/>
            </w:pPr>
            <w:r/>
            <w:r>
              <w:rPr>
                <w:b w:val="0"/>
                <w:sz w:val="15"/>
              </w:rPr>
              <w:t>Partner approval endpoint.</w:t>
            </w:r>
          </w:p>
        </w:tc>
      </w:tr>
      <w:tr>
        <w:tc>
          <w:tcPr>
            <w:tcW w:type="dxa" w:w="3528"/>
            <w:vAlign w:val="center"/>
          </w:tcPr>
          <w:p>
            <w:pPr>
              <w:spacing w:after="0"/>
            </w:pPr>
            <w:r/>
            <w:r>
              <w:rPr>
                <w:b w:val="0"/>
                <w:sz w:val="15"/>
              </w:rPr>
              <w:t>/cases/{id}/report</w:t>
            </w:r>
          </w:p>
        </w:tc>
        <w:tc>
          <w:tcPr>
            <w:tcW w:type="dxa" w:w="1080"/>
            <w:vAlign w:val="center"/>
          </w:tcPr>
          <w:p>
            <w:pPr>
              <w:spacing w:after="0"/>
            </w:pPr>
            <w:r/>
            <w:r>
              <w:rPr>
                <w:b w:val="0"/>
                <w:sz w:val="15"/>
              </w:rPr>
              <w:t>GET</w:t>
            </w:r>
          </w:p>
        </w:tc>
        <w:tc>
          <w:tcPr>
            <w:tcW w:type="dxa" w:w="5472"/>
            <w:vAlign w:val="center"/>
          </w:tcPr>
          <w:p>
            <w:pPr>
              <w:spacing w:after="0"/>
            </w:pPr>
            <w:r/>
            <w:r>
              <w:rPr>
                <w:b w:val="0"/>
                <w:sz w:val="15"/>
              </w:rPr>
              <w:t>Generate report.</w:t>
            </w:r>
          </w:p>
        </w:tc>
      </w:tr>
    </w:tbl>
    <w:p/>
    <w:p>
      <w:pPr>
        <w:pStyle w:val="Heading1"/>
      </w:pPr>
      <w:r>
        <w:t>8. Backend configuration: case type registry</w:t>
      </w:r>
    </w:p>
    <w:p>
      <w:r>
        <w:t>Create a single registry file. Cursor should implement this first, before UI.</w:t>
      </w:r>
    </w:p>
    <w:p>
      <w:pPr>
        <w:spacing w:after="0"/>
        <w:ind w:left="360"/>
      </w:pPr>
      <w:r>
        <w:rPr>
          <w:rFonts w:ascii="Consolas" w:hAnsi="Consolas"/>
          <w:sz w:val="16"/>
        </w:rPr>
        <w:t>type CaseTypeConfig = {</w:t>
      </w:r>
    </w:p>
    <w:p>
      <w:pPr>
        <w:spacing w:after="0"/>
        <w:ind w:left="360"/>
      </w:pPr>
      <w:r>
        <w:rPr>
          <w:rFonts w:ascii="Consolas" w:hAnsi="Consolas"/>
          <w:sz w:val="16"/>
        </w:rPr>
        <w:t xml:space="preserve">  code: string;</w:t>
      </w:r>
    </w:p>
    <w:p>
      <w:pPr>
        <w:spacing w:after="0"/>
        <w:ind w:left="360"/>
      </w:pPr>
      <w:r>
        <w:rPr>
          <w:rFonts w:ascii="Consolas" w:hAnsi="Consolas"/>
          <w:sz w:val="16"/>
        </w:rPr>
        <w:t xml:space="preserve">  menuGroup: string;</w:t>
      </w:r>
    </w:p>
    <w:p>
      <w:pPr>
        <w:spacing w:after="0"/>
        <w:ind w:left="360"/>
      </w:pPr>
      <w:r>
        <w:rPr>
          <w:rFonts w:ascii="Consolas" w:hAnsi="Consolas"/>
          <w:sz w:val="16"/>
        </w:rPr>
        <w:t xml:space="preserve">  label: string;</w:t>
      </w:r>
    </w:p>
    <w:p>
      <w:pPr>
        <w:spacing w:after="0"/>
        <w:ind w:left="360"/>
      </w:pPr>
      <w:r>
        <w:rPr>
          <w:rFonts w:ascii="Consolas" w:hAnsi="Consolas"/>
          <w:sz w:val="16"/>
        </w:rPr>
        <w:t xml:space="preserve">  stageRoute: 'STAGE1' | 'STAGE2' | 'STAGE3' | 'BLOCKER';</w:t>
      </w:r>
    </w:p>
    <w:p>
      <w:pPr>
        <w:spacing w:after="0"/>
        <w:ind w:left="360"/>
      </w:pPr>
      <w:r>
        <w:rPr>
          <w:rFonts w:ascii="Consolas" w:hAnsi="Consolas"/>
          <w:sz w:val="16"/>
        </w:rPr>
        <w:t xml:space="preserve">  requiredFields: string[];</w:t>
      </w:r>
    </w:p>
    <w:p>
      <w:pPr>
        <w:spacing w:after="0"/>
        <w:ind w:left="360"/>
      </w:pPr>
      <w:r>
        <w:rPr>
          <w:rFonts w:ascii="Consolas" w:hAnsi="Consolas"/>
          <w:sz w:val="16"/>
        </w:rPr>
        <w:t xml:space="preserve">  requiredEvidence: string[];</w:t>
      </w:r>
    </w:p>
    <w:p>
      <w:pPr>
        <w:spacing w:after="0"/>
        <w:ind w:left="360"/>
      </w:pPr>
      <w:r>
        <w:rPr>
          <w:rFonts w:ascii="Consolas" w:hAnsi="Consolas"/>
          <w:sz w:val="16"/>
        </w:rPr>
        <w:t xml:space="preserve">  enabledModules: string[];</w:t>
      </w:r>
    </w:p>
    <w:p>
      <w:pPr>
        <w:spacing w:after="0"/>
        <w:ind w:left="360"/>
      </w:pPr>
      <w:r>
        <w:rPr>
          <w:rFonts w:ascii="Consolas" w:hAnsi="Consolas"/>
          <w:sz w:val="16"/>
        </w:rPr>
        <w:t xml:space="preserve">  blockers: string[];</w:t>
      </w:r>
    </w:p>
    <w:p>
      <w:pPr>
        <w:spacing w:after="0"/>
        <w:ind w:left="360"/>
      </w:pPr>
      <w:r>
        <w:rPr>
          <w:rFonts w:ascii="Consolas" w:hAnsi="Consolas"/>
          <w:sz w:val="16"/>
        </w:rPr>
        <w:t>};</w:t>
      </w:r>
    </w:p>
    <w:p>
      <w:pPr>
        <w:spacing w:after="0"/>
        <w:ind w:left="360"/>
      </w:pPr>
      <w:r>
        <w:rPr>
          <w:rFonts w:ascii="Consolas" w:hAnsi="Consolas"/>
          <w:sz w:val="16"/>
        </w:rPr>
      </w:r>
    </w:p>
    <w:p>
      <w:pPr>
        <w:spacing w:after="0"/>
        <w:ind w:left="360"/>
      </w:pPr>
      <w:r>
        <w:rPr>
          <w:rFonts w:ascii="Consolas" w:hAnsi="Consolas"/>
          <w:sz w:val="16"/>
        </w:rPr>
        <w:t>const CASE_TYPES: CaseTypeConfig[] = [</w:t>
      </w:r>
    </w:p>
    <w:p>
      <w:pPr>
        <w:spacing w:after="0"/>
        <w:ind w:left="360"/>
      </w:pPr>
      <w:r>
        <w:rPr>
          <w:rFonts w:ascii="Consolas" w:hAnsi="Consolas"/>
          <w:sz w:val="16"/>
        </w:rPr>
        <w:t xml:space="preserve">  {</w:t>
      </w:r>
    </w:p>
    <w:p>
      <w:pPr>
        <w:spacing w:after="0"/>
        <w:ind w:left="360"/>
      </w:pPr>
      <w:r>
        <w:rPr>
          <w:rFonts w:ascii="Consolas" w:hAnsi="Consolas"/>
          <w:sz w:val="16"/>
        </w:rPr>
        <w:t xml:space="preserve">    code: 'PRIVATE_ART161_NEEDS',</w:t>
      </w:r>
    </w:p>
    <w:p>
      <w:pPr>
        <w:spacing w:after="0"/>
        <w:ind w:left="360"/>
      </w:pPr>
      <w:r>
        <w:rPr>
          <w:rFonts w:ascii="Consolas" w:hAnsi="Consolas"/>
          <w:sz w:val="16"/>
        </w:rPr>
        <w:t xml:space="preserve">    menuGroup: 'Private employer',</w:t>
      </w:r>
    </w:p>
    <w:p>
      <w:pPr>
        <w:spacing w:after="0"/>
        <w:ind w:left="360"/>
      </w:pPr>
      <w:r>
        <w:rPr>
          <w:rFonts w:ascii="Consolas" w:hAnsi="Consolas"/>
          <w:sz w:val="16"/>
        </w:rPr>
        <w:t xml:space="preserve">    label: 'Art. 161 necesidades empresa',</w:t>
      </w:r>
    </w:p>
    <w:p>
      <w:pPr>
        <w:spacing w:after="0"/>
        <w:ind w:left="360"/>
      </w:pPr>
      <w:r>
        <w:rPr>
          <w:rFonts w:ascii="Consolas" w:hAnsi="Consolas"/>
          <w:sz w:val="16"/>
        </w:rPr>
        <w:t xml:space="preserve">    stageRoute: 'STAGE2',</w:t>
      </w:r>
    </w:p>
    <w:p>
      <w:pPr>
        <w:spacing w:after="0"/>
        <w:ind w:left="360"/>
      </w:pPr>
      <w:r>
        <w:rPr>
          <w:rFonts w:ascii="Consolas" w:hAnsi="Consolas"/>
          <w:sz w:val="16"/>
        </w:rPr>
        <w:t xml:space="preserve">    requiredFields: ['start_date','end_date','specific_business_reason','notice_given','fixed_salary'],</w:t>
      </w:r>
    </w:p>
    <w:p>
      <w:pPr>
        <w:spacing w:after="0"/>
        <w:ind w:left="360"/>
      </w:pPr>
      <w:r>
        <w:rPr>
          <w:rFonts w:ascii="Consolas" w:hAnsi="Consolas"/>
          <w:sz w:val="16"/>
        </w:rPr>
        <w:t xml:space="preserve">    requiredEvidence: ['contract','payslips','dismissal_letter','dt_filing','cotizaciones_certificate','business_evidence'],</w:t>
      </w:r>
    </w:p>
    <w:p>
      <w:pPr>
        <w:spacing w:after="0"/>
        <w:ind w:left="360"/>
      </w:pPr>
      <w:r>
        <w:rPr>
          <w:rFonts w:ascii="Consolas" w:hAnsi="Consolas"/>
          <w:sz w:val="16"/>
        </w:rPr>
        <w:t xml:space="preserve">    enabledModules: ['proof_gate','calculation','tax_review','scenarios','report'],</w:t>
      </w:r>
    </w:p>
    <w:p>
      <w:pPr>
        <w:spacing w:after="0"/>
        <w:ind w:left="360"/>
      </w:pPr>
      <w:r>
        <w:rPr>
          <w:rFonts w:ascii="Consolas" w:hAnsi="Consolas"/>
          <w:sz w:val="16"/>
        </w:rPr>
        <w:t xml:space="preserve">    blockers: ['FUERO','MEDICAL_LEAVE_ART161','NO_COTIZACIONES','GENERIC_CARTA']</w:t>
      </w:r>
    </w:p>
    <w:p>
      <w:pPr>
        <w:spacing w:after="0"/>
        <w:ind w:left="360"/>
      </w:pPr>
      <w:r>
        <w:rPr>
          <w:rFonts w:ascii="Consolas" w:hAnsi="Consolas"/>
          <w:sz w:val="16"/>
        </w:rPr>
        <w:t xml:space="preserve">  }</w:t>
      </w:r>
    </w:p>
    <w:p>
      <w:pPr>
        <w:spacing w:after="0"/>
        <w:ind w:left="360"/>
      </w:pPr>
      <w:r>
        <w:rPr>
          <w:rFonts w:ascii="Consolas" w:hAnsi="Consolas"/>
          <w:sz w:val="16"/>
        </w:rPr>
        <w:t>];</w:t>
      </w:r>
    </w:p>
    <w:p>
      <w:pPr>
        <w:pStyle w:val="Heading1"/>
      </w:pPr>
      <w:r>
        <w:t>9. Dynamic input schema response</w:t>
      </w:r>
    </w:p>
    <w:p>
      <w:pPr>
        <w:spacing w:after="0"/>
        <w:ind w:left="360"/>
      </w:pPr>
      <w:r>
        <w:rPr>
          <w:rFonts w:ascii="Consolas" w:hAnsi="Consolas"/>
          <w:sz w:val="16"/>
        </w:rPr>
        <w:t>{</w:t>
      </w:r>
    </w:p>
    <w:p>
      <w:pPr>
        <w:spacing w:after="0"/>
        <w:ind w:left="360"/>
      </w:pPr>
      <w:r>
        <w:rPr>
          <w:rFonts w:ascii="Consolas" w:hAnsi="Consolas"/>
          <w:sz w:val="16"/>
        </w:rPr>
        <w:t xml:space="preserve">  "case_type": "PRIVATE_ART161_NEEDS",</w:t>
      </w:r>
    </w:p>
    <w:p>
      <w:pPr>
        <w:spacing w:after="0"/>
        <w:ind w:left="360"/>
      </w:pPr>
      <w:r>
        <w:rPr>
          <w:rFonts w:ascii="Consolas" w:hAnsi="Consolas"/>
          <w:sz w:val="16"/>
        </w:rPr>
        <w:t xml:space="preserve">  "sections": [</w:t>
      </w:r>
    </w:p>
    <w:p>
      <w:pPr>
        <w:spacing w:after="0"/>
        <w:ind w:left="360"/>
      </w:pPr>
      <w:r>
        <w:rPr>
          <w:rFonts w:ascii="Consolas" w:hAnsi="Consolas"/>
          <w:sz w:val="16"/>
        </w:rPr>
        <w:t xml:space="preserve">    { "id": "case_setup", "fields": ["client_name", "employee_name", "start_date", "end_date"] },</w:t>
      </w:r>
    </w:p>
    <w:p>
      <w:pPr>
        <w:spacing w:after="0"/>
        <w:ind w:left="360"/>
      </w:pPr>
      <w:r>
        <w:rPr>
          <w:rFonts w:ascii="Consolas" w:hAnsi="Consolas"/>
          <w:sz w:val="16"/>
        </w:rPr>
        <w:t xml:space="preserve">    { "id": "termination", "fields": ["specific_business_reason", "notice_given", "delivery_method", "dt_filing_date"] },</w:t>
      </w:r>
    </w:p>
    <w:p>
      <w:pPr>
        <w:spacing w:after="0"/>
        <w:ind w:left="360"/>
      </w:pPr>
      <w:r>
        <w:rPr>
          <w:rFonts w:ascii="Consolas" w:hAnsi="Consolas"/>
          <w:sz w:val="16"/>
        </w:rPr>
        <w:t xml:space="preserve">    { "id": "payroll", "fields": ["fixed_salary", "avg_variable_3m", "pending_salary", "vacation_days"] },</w:t>
      </w:r>
    </w:p>
    <w:p>
      <w:pPr>
        <w:spacing w:after="0"/>
        <w:ind w:left="360"/>
      </w:pPr>
      <w:r>
        <w:rPr>
          <w:rFonts w:ascii="Consolas" w:hAnsi="Consolas"/>
          <w:sz w:val="16"/>
        </w:rPr>
        <w:t xml:space="preserve">    { "id": "evidence", "required_documents": ["contract", "payslips", "dismissal_letter", "dt_filing", "cotizaciones_certificate"] }</w:t>
      </w:r>
    </w:p>
    <w:p>
      <w:pPr>
        <w:spacing w:after="0"/>
        <w:ind w:left="360"/>
      </w:pPr>
      <w:r>
        <w:rPr>
          <w:rFonts w:ascii="Consolas" w:hAnsi="Consolas"/>
          <w:sz w:val="16"/>
        </w:rPr>
        <w:t xml:space="preserve">  ],</w:t>
      </w:r>
    </w:p>
    <w:p>
      <w:pPr>
        <w:spacing w:after="0"/>
        <w:ind w:left="360"/>
      </w:pPr>
      <w:r>
        <w:rPr>
          <w:rFonts w:ascii="Consolas" w:hAnsi="Consolas"/>
          <w:sz w:val="16"/>
        </w:rPr>
        <w:t xml:space="preserve">  "run_modes": ["draft", "final_review"],</w:t>
      </w:r>
    </w:p>
    <w:p>
      <w:pPr>
        <w:spacing w:after="0"/>
        <w:ind w:left="360"/>
      </w:pPr>
      <w:r>
        <w:rPr>
          <w:rFonts w:ascii="Consolas" w:hAnsi="Consolas"/>
          <w:sz w:val="16"/>
        </w:rPr>
        <w:t xml:space="preserve">  "warnings": ["Final report requires partner approval"]</w:t>
      </w:r>
    </w:p>
    <w:p>
      <w:pPr>
        <w:spacing w:after="0"/>
        <w:ind w:left="360"/>
      </w:pPr>
      <w:r>
        <w:rPr>
          <w:rFonts w:ascii="Consolas" w:hAnsi="Consolas"/>
          <w:sz w:val="16"/>
        </w:rPr>
        <w:t>}</w:t>
      </w:r>
    </w:p>
    <w:p>
      <w:pPr>
        <w:pStyle w:val="Heading1"/>
      </w:pPr>
      <w:r>
        <w:t>10. Menu behavior rules</w:t>
      </w:r>
    </w:p>
    <w:p>
      <w:pPr>
        <w:pStyle w:val="ListBullet"/>
        <w:spacing w:after="40"/>
      </w:pPr>
      <w:r>
        <w:t>If user selects a Stage 3 special case, do not show normal calculation button as final; show Special Review Required.</w:t>
      </w:r>
    </w:p>
    <w:p>
      <w:pPr>
        <w:pStyle w:val="ListBullet"/>
        <w:spacing w:after="40"/>
      </w:pPr>
      <w:r>
        <w:t>If blocker case is selected, allow Draft Risk Review only; do not allow Approved Client Report.</w:t>
      </w:r>
    </w:p>
    <w:p>
      <w:pPr>
        <w:pStyle w:val="ListBullet"/>
        <w:spacing w:after="40"/>
      </w:pPr>
      <w:r>
        <w:t>If required evidence is missing, show missing evidence list before calculation.</w:t>
      </w:r>
    </w:p>
    <w:p>
      <w:pPr>
        <w:pStyle w:val="ListBullet"/>
        <w:spacing w:after="40"/>
      </w:pPr>
      <w:r>
        <w:t>Allow Draft Calculation for incomplete cases only if output is watermarked Draft / Not client-safe.</w:t>
      </w:r>
    </w:p>
    <w:p>
      <w:pPr>
        <w:pStyle w:val="ListBullet"/>
        <w:spacing w:after="40"/>
      </w:pPr>
      <w:r>
        <w:t>Final Review requires all hard blockers cleared and partner approval if risk is high.</w:t>
      </w:r>
    </w:p>
    <w:p>
      <w:pPr>
        <w:pStyle w:val="ListBullet"/>
        <w:spacing w:after="40"/>
      </w:pPr>
      <w:r>
        <w:t>Menu must remember the selected case_type and store it in the case object; do not infer it later from free text.</w:t>
      </w:r>
    </w:p>
    <w:p>
      <w:pPr>
        <w:pStyle w:val="Heading1"/>
      </w:pPr>
      <w:r>
        <w:t>11. Implementation workflow for Cursor</w:t>
      </w:r>
    </w:p>
    <w:p>
      <w:pPr>
        <w:pStyle w:val="ListNumber"/>
        <w:spacing w:after="40"/>
      </w:pPr>
      <w:r>
        <w:t>Create feature branch: feature/fix2-case-menu-inputs.</w:t>
      </w:r>
    </w:p>
    <w:p>
      <w:pPr>
        <w:pStyle w:val="ListNumber"/>
        <w:spacing w:after="40"/>
      </w:pPr>
      <w:r>
        <w:t>Add case_type_registry.ts or case_type_registry.yaml.</w:t>
      </w:r>
    </w:p>
    <w:p>
      <w:pPr>
        <w:pStyle w:val="ListNumber"/>
        <w:spacing w:after="40"/>
      </w:pPr>
      <w:r>
        <w:t>Implement GET /case-types.</w:t>
      </w:r>
    </w:p>
    <w:p>
      <w:pPr>
        <w:pStyle w:val="ListNumber"/>
        <w:spacing w:after="40"/>
      </w:pPr>
      <w:r>
        <w:t>Implement GET /case-types/{code}/input-schema.</w:t>
      </w:r>
    </w:p>
    <w:p>
      <w:pPr>
        <w:pStyle w:val="ListNumber"/>
        <w:spacing w:after="40"/>
      </w:pPr>
      <w:r>
        <w:t>Update case schema to require case_type_code.</w:t>
      </w:r>
    </w:p>
    <w:p>
      <w:pPr>
        <w:pStyle w:val="ListNumber"/>
        <w:spacing w:after="40"/>
      </w:pPr>
      <w:r>
        <w:t>Update validation service to load requiredFields/requiredEvidence from registry.</w:t>
      </w:r>
    </w:p>
    <w:p>
      <w:pPr>
        <w:pStyle w:val="ListNumber"/>
        <w:spacing w:after="40"/>
      </w:pPr>
      <w:r>
        <w:t>Update UI/menu to group cases by menuGroup.</w:t>
      </w:r>
    </w:p>
    <w:p>
      <w:pPr>
        <w:pStyle w:val="ListNumber"/>
        <w:spacing w:after="40"/>
      </w:pPr>
      <w:r>
        <w:t>Add Draft Calculation and Final Review buttons with route-specific behavior.</w:t>
      </w:r>
    </w:p>
    <w:p>
      <w:pPr>
        <w:pStyle w:val="ListNumber"/>
        <w:spacing w:after="40"/>
      </w:pPr>
      <w:r>
        <w:t>Update report header to show selected case type, run mode and blocker status.</w:t>
      </w:r>
    </w:p>
    <w:p>
      <w:pPr>
        <w:pStyle w:val="ListNumber"/>
        <w:spacing w:after="40"/>
      </w:pPr>
      <w:r>
        <w:t>Add tests for every menu option and the main art. 161 case.</w:t>
      </w:r>
    </w:p>
    <w:p>
      <w:pPr>
        <w:pStyle w:val="Heading1"/>
      </w:pPr>
      <w:r>
        <w:t>12. Tests</w:t>
      </w:r>
    </w:p>
    <w:tbl>
      <w:tblPr>
        <w:tblStyle w:val="TableGrid"/>
        <w:tblW w:type="auto" w:w="0"/>
        <w:jc w:val="center"/>
        <w:tblLook w:firstColumn="1" w:firstRow="1" w:lastColumn="0" w:lastRow="0" w:noHBand="0" w:noVBand="1" w:val="04A0"/>
      </w:tblPr>
      <w:tblGrid>
        <w:gridCol w:w="1440"/>
        <w:gridCol w:w="4752"/>
        <w:gridCol w:w="3888"/>
      </w:tblGrid>
      <w:tr>
        <w:tc>
          <w:tcPr>
            <w:tcW w:type="dxa" w:w="3408"/>
            <w:vAlign w:val="center"/>
            <w:shd w:fill="EAF2F8"/>
          </w:tcPr>
          <w:p>
            <w:pPr>
              <w:spacing w:after="0"/>
            </w:pPr>
            <w:r/>
            <w:r>
              <w:rPr>
                <w:b/>
                <w:sz w:val="16"/>
              </w:rPr>
              <w:t>Test</w:t>
            </w:r>
          </w:p>
        </w:tc>
        <w:tc>
          <w:tcPr>
            <w:tcW w:type="dxa" w:w="3408"/>
            <w:vAlign w:val="center"/>
            <w:shd w:fill="EAF2F8"/>
          </w:tcPr>
          <w:p>
            <w:pPr>
              <w:spacing w:after="0"/>
            </w:pPr>
            <w:r/>
            <w:r>
              <w:rPr>
                <w:b/>
                <w:sz w:val="16"/>
              </w:rPr>
              <w:t>Condition</w:t>
            </w:r>
          </w:p>
        </w:tc>
        <w:tc>
          <w:tcPr>
            <w:tcW w:type="dxa" w:w="3408"/>
            <w:vAlign w:val="center"/>
            <w:shd w:fill="EAF2F8"/>
          </w:tcPr>
          <w:p>
            <w:pPr>
              <w:spacing w:after="0"/>
            </w:pPr>
            <w:r/>
            <w:r>
              <w:rPr>
                <w:b/>
                <w:sz w:val="16"/>
              </w:rPr>
              <w:t>Expected result</w:t>
            </w:r>
          </w:p>
        </w:tc>
      </w:tr>
      <w:tr>
        <w:tc>
          <w:tcPr>
            <w:tcW w:type="dxa" w:w="1440"/>
            <w:vAlign w:val="center"/>
          </w:tcPr>
          <w:p>
            <w:pPr>
              <w:spacing w:after="0"/>
            </w:pPr>
            <w:r/>
            <w:r>
              <w:rPr>
                <w:b w:val="0"/>
                <w:sz w:val="14"/>
              </w:rPr>
              <w:t>FIX2-TC01</w:t>
            </w:r>
          </w:p>
        </w:tc>
        <w:tc>
          <w:tcPr>
            <w:tcW w:type="dxa" w:w="4752"/>
            <w:vAlign w:val="center"/>
          </w:tcPr>
          <w:p>
            <w:pPr>
              <w:spacing w:after="0"/>
            </w:pPr>
            <w:r/>
            <w:r>
              <w:rPr>
                <w:b w:val="0"/>
                <w:sz w:val="14"/>
              </w:rPr>
              <w:t>GET /case-types</w:t>
            </w:r>
          </w:p>
        </w:tc>
        <w:tc>
          <w:tcPr>
            <w:tcW w:type="dxa" w:w="3888"/>
            <w:vAlign w:val="center"/>
          </w:tcPr>
          <w:p>
            <w:pPr>
              <w:spacing w:after="0"/>
            </w:pPr>
            <w:r/>
            <w:r>
              <w:rPr>
                <w:b w:val="0"/>
                <w:sz w:val="14"/>
              </w:rPr>
              <w:t>Returns grouped menu with all configured case options.</w:t>
            </w:r>
          </w:p>
        </w:tc>
      </w:tr>
      <w:tr>
        <w:tc>
          <w:tcPr>
            <w:tcW w:type="dxa" w:w="1440"/>
            <w:vAlign w:val="center"/>
          </w:tcPr>
          <w:p>
            <w:pPr>
              <w:spacing w:after="0"/>
            </w:pPr>
            <w:r/>
            <w:r>
              <w:rPr>
                <w:b w:val="0"/>
                <w:sz w:val="14"/>
              </w:rPr>
              <w:t>FIX2-TC02</w:t>
            </w:r>
          </w:p>
        </w:tc>
        <w:tc>
          <w:tcPr>
            <w:tcW w:type="dxa" w:w="4752"/>
            <w:vAlign w:val="center"/>
          </w:tcPr>
          <w:p>
            <w:pPr>
              <w:spacing w:after="0"/>
            </w:pPr>
            <w:r/>
            <w:r>
              <w:rPr>
                <w:b w:val="0"/>
                <w:sz w:val="14"/>
              </w:rPr>
              <w:t>Select PRIVATE_ART161_NEEDS</w:t>
            </w:r>
          </w:p>
        </w:tc>
        <w:tc>
          <w:tcPr>
            <w:tcW w:type="dxa" w:w="3888"/>
            <w:vAlign w:val="center"/>
          </w:tcPr>
          <w:p>
            <w:pPr>
              <w:spacing w:after="0"/>
            </w:pPr>
            <w:r/>
            <w:r>
              <w:rPr>
                <w:b w:val="0"/>
                <w:sz w:val="14"/>
              </w:rPr>
              <w:t>Returns dynamic schema with business reason, carta, DT filing, cotizaciones.</w:t>
            </w:r>
          </w:p>
        </w:tc>
      </w:tr>
      <w:tr>
        <w:tc>
          <w:tcPr>
            <w:tcW w:type="dxa" w:w="1440"/>
            <w:vAlign w:val="center"/>
          </w:tcPr>
          <w:p>
            <w:pPr>
              <w:spacing w:after="0"/>
            </w:pPr>
            <w:r/>
            <w:r>
              <w:rPr>
                <w:b w:val="0"/>
                <w:sz w:val="14"/>
              </w:rPr>
              <w:t>FIX2-TC03</w:t>
            </w:r>
          </w:p>
        </w:tc>
        <w:tc>
          <w:tcPr>
            <w:tcW w:type="dxa" w:w="4752"/>
            <w:vAlign w:val="center"/>
          </w:tcPr>
          <w:p>
            <w:pPr>
              <w:spacing w:after="0"/>
            </w:pPr>
            <w:r/>
            <w:r>
              <w:rPr>
                <w:b w:val="0"/>
                <w:sz w:val="14"/>
              </w:rPr>
              <w:t>Run validation without cotizaciones certificate</w:t>
            </w:r>
          </w:p>
        </w:tc>
        <w:tc>
          <w:tcPr>
            <w:tcW w:type="dxa" w:w="3888"/>
            <w:vAlign w:val="center"/>
          </w:tcPr>
          <w:p>
            <w:pPr>
              <w:spacing w:after="0"/>
            </w:pPr>
            <w:r/>
            <w:r>
              <w:rPr>
                <w:b w:val="0"/>
                <w:sz w:val="14"/>
              </w:rPr>
              <w:t>Returns blocker NO_COTIZACIONES.</w:t>
            </w:r>
          </w:p>
        </w:tc>
      </w:tr>
      <w:tr>
        <w:tc>
          <w:tcPr>
            <w:tcW w:type="dxa" w:w="1440"/>
            <w:vAlign w:val="center"/>
          </w:tcPr>
          <w:p>
            <w:pPr>
              <w:spacing w:after="0"/>
            </w:pPr>
            <w:r/>
            <w:r>
              <w:rPr>
                <w:b w:val="0"/>
                <w:sz w:val="14"/>
              </w:rPr>
              <w:t>FIX2-TC04</w:t>
            </w:r>
          </w:p>
        </w:tc>
        <w:tc>
          <w:tcPr>
            <w:tcW w:type="dxa" w:w="4752"/>
            <w:vAlign w:val="center"/>
          </w:tcPr>
          <w:p>
            <w:pPr>
              <w:spacing w:after="0"/>
            </w:pPr>
            <w:r/>
            <w:r>
              <w:rPr>
                <w:b w:val="0"/>
                <w:sz w:val="14"/>
              </w:rPr>
              <w:t>Run validation with generic carta text</w:t>
            </w:r>
          </w:p>
        </w:tc>
        <w:tc>
          <w:tcPr>
            <w:tcW w:type="dxa" w:w="3888"/>
            <w:vAlign w:val="center"/>
          </w:tcPr>
          <w:p>
            <w:pPr>
              <w:spacing w:after="0"/>
            </w:pPr>
            <w:r/>
            <w:r>
              <w:rPr>
                <w:b w:val="0"/>
                <w:sz w:val="14"/>
              </w:rPr>
              <w:t>Returns blocker GENERIC_CARTA.</w:t>
            </w:r>
          </w:p>
        </w:tc>
      </w:tr>
      <w:tr>
        <w:tc>
          <w:tcPr>
            <w:tcW w:type="dxa" w:w="1440"/>
            <w:vAlign w:val="center"/>
          </w:tcPr>
          <w:p>
            <w:pPr>
              <w:spacing w:after="0"/>
            </w:pPr>
            <w:r/>
            <w:r>
              <w:rPr>
                <w:b w:val="0"/>
                <w:sz w:val="14"/>
              </w:rPr>
              <w:t>FIX2-TC05</w:t>
            </w:r>
          </w:p>
        </w:tc>
        <w:tc>
          <w:tcPr>
            <w:tcW w:type="dxa" w:w="4752"/>
            <w:vAlign w:val="center"/>
          </w:tcPr>
          <w:p>
            <w:pPr>
              <w:spacing w:after="0"/>
            </w:pPr>
            <w:r/>
            <w:r>
              <w:rPr>
                <w:b w:val="0"/>
                <w:sz w:val="14"/>
              </w:rPr>
              <w:t>Select SPECIAL_HONORARIOS</w:t>
            </w:r>
          </w:p>
        </w:tc>
        <w:tc>
          <w:tcPr>
            <w:tcW w:type="dxa" w:w="3888"/>
            <w:vAlign w:val="center"/>
          </w:tcPr>
          <w:p>
            <w:pPr>
              <w:spacing w:after="0"/>
            </w:pPr>
            <w:r/>
            <w:r>
              <w:rPr>
                <w:b w:val="0"/>
                <w:sz w:val="14"/>
              </w:rPr>
              <w:t>Routes to Stage 3 and disables final normal calculation.</w:t>
            </w:r>
          </w:p>
        </w:tc>
      </w:tr>
      <w:tr>
        <w:tc>
          <w:tcPr>
            <w:tcW w:type="dxa" w:w="1440"/>
            <w:vAlign w:val="center"/>
          </w:tcPr>
          <w:p>
            <w:pPr>
              <w:spacing w:after="0"/>
            </w:pPr>
            <w:r/>
            <w:r>
              <w:rPr>
                <w:b w:val="0"/>
                <w:sz w:val="14"/>
              </w:rPr>
              <w:t>FIX2-TC06</w:t>
            </w:r>
          </w:p>
        </w:tc>
        <w:tc>
          <w:tcPr>
            <w:tcW w:type="dxa" w:w="4752"/>
            <w:vAlign w:val="center"/>
          </w:tcPr>
          <w:p>
            <w:pPr>
              <w:spacing w:after="0"/>
            </w:pPr>
            <w:r/>
            <w:r>
              <w:rPr>
                <w:b w:val="0"/>
                <w:sz w:val="14"/>
              </w:rPr>
              <w:t>Select PROTECTED_FUERO without authorization</w:t>
            </w:r>
          </w:p>
        </w:tc>
        <w:tc>
          <w:tcPr>
            <w:tcW w:type="dxa" w:w="3888"/>
            <w:vAlign w:val="center"/>
          </w:tcPr>
          <w:p>
            <w:pPr>
              <w:spacing w:after="0"/>
            </w:pPr>
            <w:r/>
            <w:r>
              <w:rPr>
                <w:b w:val="0"/>
                <w:sz w:val="14"/>
              </w:rPr>
              <w:t>Returns blocker FUERO and disables approved report.</w:t>
            </w:r>
          </w:p>
        </w:tc>
      </w:tr>
      <w:tr>
        <w:tc>
          <w:tcPr>
            <w:tcW w:type="dxa" w:w="1440"/>
            <w:vAlign w:val="center"/>
          </w:tcPr>
          <w:p>
            <w:pPr>
              <w:spacing w:after="0"/>
            </w:pPr>
            <w:r/>
            <w:r>
              <w:rPr>
                <w:b w:val="0"/>
                <w:sz w:val="14"/>
              </w:rPr>
              <w:t>FIX2-TC07</w:t>
            </w:r>
          </w:p>
        </w:tc>
        <w:tc>
          <w:tcPr>
            <w:tcW w:type="dxa" w:w="4752"/>
            <w:vAlign w:val="center"/>
          </w:tcPr>
          <w:p>
            <w:pPr>
              <w:spacing w:after="0"/>
            </w:pPr>
            <w:r/>
            <w:r>
              <w:rPr>
                <w:b w:val="0"/>
                <w:sz w:val="14"/>
              </w:rPr>
              <w:t>Draft calculation with missing optional evidence</w:t>
            </w:r>
          </w:p>
        </w:tc>
        <w:tc>
          <w:tcPr>
            <w:tcW w:type="dxa" w:w="3888"/>
            <w:vAlign w:val="center"/>
          </w:tcPr>
          <w:p>
            <w:pPr>
              <w:spacing w:after="0"/>
            </w:pPr>
            <w:r/>
            <w:r>
              <w:rPr>
                <w:b w:val="0"/>
                <w:sz w:val="14"/>
              </w:rPr>
              <w:t>Allows draft output with warning watermark.</w:t>
            </w:r>
          </w:p>
        </w:tc>
      </w:tr>
      <w:tr>
        <w:tc>
          <w:tcPr>
            <w:tcW w:type="dxa" w:w="1440"/>
            <w:vAlign w:val="center"/>
          </w:tcPr>
          <w:p>
            <w:pPr>
              <w:spacing w:after="0"/>
            </w:pPr>
            <w:r/>
            <w:r>
              <w:rPr>
                <w:b w:val="0"/>
                <w:sz w:val="14"/>
              </w:rPr>
              <w:t>FIX2-TC08</w:t>
            </w:r>
          </w:p>
        </w:tc>
        <w:tc>
          <w:tcPr>
            <w:tcW w:type="dxa" w:w="4752"/>
            <w:vAlign w:val="center"/>
          </w:tcPr>
          <w:p>
            <w:pPr>
              <w:spacing w:after="0"/>
            </w:pPr>
            <w:r/>
            <w:r>
              <w:rPr>
                <w:b w:val="0"/>
                <w:sz w:val="14"/>
              </w:rPr>
              <w:t>Final review with all required evidence</w:t>
            </w:r>
          </w:p>
        </w:tc>
        <w:tc>
          <w:tcPr>
            <w:tcW w:type="dxa" w:w="3888"/>
            <w:vAlign w:val="center"/>
          </w:tcPr>
          <w:p>
            <w:pPr>
              <w:spacing w:after="0"/>
            </w:pPr>
            <w:r/>
            <w:r>
              <w:rPr>
                <w:b w:val="0"/>
                <w:sz w:val="14"/>
              </w:rPr>
              <w:t>Runs workflow and enables partner approval.</w:t>
            </w:r>
          </w:p>
        </w:tc>
      </w:tr>
    </w:tbl>
    <w:p/>
    <w:p>
      <w:pPr>
        <w:pStyle w:val="Heading1"/>
      </w:pPr>
      <w:r>
        <w:t>13. Definition of done</w:t>
      </w:r>
    </w:p>
    <w:p>
      <w:pPr>
        <w:pStyle w:val="ListBullet"/>
        <w:spacing w:after="40"/>
      </w:pPr>
      <w:r>
        <w:t>User can select case type from menu and see only relevant inputs.</w:t>
      </w:r>
    </w:p>
    <w:p>
      <w:pPr>
        <w:pStyle w:val="ListBullet"/>
        <w:spacing w:after="40"/>
      </w:pPr>
      <w:r>
        <w:t>Backend uses case_type_code to load required inputs and evidence.</w:t>
      </w:r>
    </w:p>
    <w:p>
      <w:pPr>
        <w:pStyle w:val="ListBullet"/>
        <w:spacing w:after="40"/>
      </w:pPr>
      <w:r>
        <w:t>Validation returns blockers, warnings and missing fields before calculation.</w:t>
      </w:r>
    </w:p>
    <w:p>
      <w:pPr>
        <w:pStyle w:val="ListBullet"/>
        <w:spacing w:after="40"/>
      </w:pPr>
      <w:r>
        <w:t>Draft mode works for incomplete cases but is clearly marked not client-safe.</w:t>
      </w:r>
    </w:p>
    <w:p>
      <w:pPr>
        <w:pStyle w:val="ListBullet"/>
        <w:spacing w:after="40"/>
      </w:pPr>
      <w:r>
        <w:t>Final review cannot run if hard blockers exist.</w:t>
      </w:r>
    </w:p>
    <w:p>
      <w:pPr>
        <w:pStyle w:val="ListBullet"/>
        <w:spacing w:after="40"/>
      </w:pPr>
      <w:r>
        <w:t>Art. 161 case can be run end-to-end through menu, inputs, validation, calculation and report.</w:t>
      </w:r>
    </w:p>
    <w:p>
      <w:pPr>
        <w:pStyle w:val="Heading1"/>
      </w:pPr>
      <w:r>
        <w:t>14. Cursor instruction</w:t>
      </w:r>
    </w:p>
    <w:p>
      <w:r>
        <w:t>Implement Fix2 as a UI/API routing layer first. Do not rewrite the calculation engine. The registry controls which inputs, evidence and modules are active for each case. Once the menu and dynamic validation work for PRIVATE_ART161_NEEDS, extend the same pattern to the other case types.</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Calibri" w:hAnsi="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color w:val="2E75B6"/>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