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Fix1 — Litigation-Proof Finiquito Engine</w:t>
      </w:r>
    </w:p>
    <w:p>
      <w:pPr>
        <w:jc w:val="center"/>
      </w:pPr>
      <w:r>
        <w:rPr>
          <w:i/>
        </w:rPr>
        <w:t>Developer-ready document and workflow for Chilean labor tribunal defense</w:t>
      </w:r>
    </w:p>
    <w:p>
      <w:pPr>
        <w:jc w:val="center"/>
      </w:pPr>
      <w:r>
        <w:t>Target user: law firm advising employer clients | Implementation target: Cursor / TypeScript or Python backend</w:t>
      </w:r>
    </w:p>
    <w:p>
      <w:pPr>
        <w:pStyle w:val="Heading1"/>
      </w:pPr>
      <w:r>
        <w:t>1. Objective</w:t>
      </w:r>
    </w:p>
    <w:p>
      <w:r>
        <w:t>Fix1 upgrades the current finiquito model from a calculation engine into a litigation-proof evidence and defense workflow. The labor tribunal in Chile will not only review the number paid; it will review whether the employer proved the legal causal, complied with notice and timing rules, paid/declared cotizaciones, avoided invalid deductions, and preserved evidence.</w:t>
      </w:r>
    </w:p>
    <w:p>
      <w:r>
        <w:t>The system must therefore link every calculation and recommendation to documentary evidence, legal basis, workflow approval, and a tribunal-facing case file.</w:t>
      </w:r>
    </w:p>
    <w:p>
      <w:pPr>
        <w:pStyle w:val="Heading1"/>
      </w:pPr>
      <w:r>
        <w:t>2. Problem Fix1 solves</w:t>
      </w:r>
    </w:p>
    <w:tbl>
      <w:tblPr>
        <w:tblStyle w:val="TableGrid"/>
        <w:tblW w:type="auto" w:w="0"/>
        <w:jc w:val="center"/>
        <w:tblLook w:firstColumn="1" w:firstRow="1" w:lastColumn="0" w:lastRow="0" w:noHBand="0" w:noVBand="1" w:val="04A0"/>
      </w:tblPr>
      <w:tblGrid>
        <w:gridCol w:w="2592"/>
        <w:gridCol w:w="3024"/>
        <w:gridCol w:w="4608"/>
      </w:tblGrid>
      <w:tr>
        <w:tc>
          <w:tcPr>
            <w:tcW w:type="dxa" w:w="3408"/>
            <w:vAlign w:val="center"/>
            <w:shd w:fill="EAF2F8"/>
          </w:tcPr>
          <w:p>
            <w:pPr>
              <w:spacing w:after="0"/>
            </w:pPr>
            <w:r/>
            <w:r>
              <w:rPr>
                <w:b/>
                <w:sz w:val="16"/>
              </w:rPr>
              <w:t>Current weakness</w:t>
            </w:r>
          </w:p>
        </w:tc>
        <w:tc>
          <w:tcPr>
            <w:tcW w:type="dxa" w:w="3408"/>
            <w:vAlign w:val="center"/>
            <w:shd w:fill="EAF2F8"/>
          </w:tcPr>
          <w:p>
            <w:pPr>
              <w:spacing w:after="0"/>
            </w:pPr>
            <w:r/>
            <w:r>
              <w:rPr>
                <w:b/>
                <w:sz w:val="16"/>
              </w:rPr>
              <w:t>Tribunal risk</w:t>
            </w:r>
          </w:p>
        </w:tc>
        <w:tc>
          <w:tcPr>
            <w:tcW w:type="dxa" w:w="3408"/>
            <w:vAlign w:val="center"/>
            <w:shd w:fill="EAF2F8"/>
          </w:tcPr>
          <w:p>
            <w:pPr>
              <w:spacing w:after="0"/>
            </w:pPr>
            <w:r/>
            <w:r>
              <w:rPr>
                <w:b/>
                <w:sz w:val="16"/>
              </w:rPr>
              <w:t>Fix1 requirement</w:t>
            </w:r>
          </w:p>
        </w:tc>
      </w:tr>
      <w:tr>
        <w:tc>
          <w:tcPr>
            <w:tcW w:type="dxa" w:w="2592"/>
            <w:vAlign w:val="center"/>
          </w:tcPr>
          <w:p>
            <w:pPr>
              <w:spacing w:after="0"/>
            </w:pPr>
            <w:r/>
            <w:r>
              <w:rPr>
                <w:b w:val="0"/>
                <w:sz w:val="15"/>
              </w:rPr>
              <w:t>Calculation not tied to evidence</w:t>
            </w:r>
          </w:p>
        </w:tc>
        <w:tc>
          <w:tcPr>
            <w:tcW w:type="dxa" w:w="3024"/>
            <w:vAlign w:val="center"/>
          </w:tcPr>
          <w:p>
            <w:pPr>
              <w:spacing w:after="0"/>
            </w:pPr>
            <w:r/>
            <w:r>
              <w:rPr>
                <w:b w:val="0"/>
                <w:sz w:val="15"/>
              </w:rPr>
              <w:t>Court may reject employer position even if math is correct.</w:t>
            </w:r>
          </w:p>
        </w:tc>
        <w:tc>
          <w:tcPr>
            <w:tcW w:type="dxa" w:w="4608"/>
            <w:vAlign w:val="center"/>
          </w:tcPr>
          <w:p>
            <w:pPr>
              <w:spacing w:after="0"/>
            </w:pPr>
            <w:r/>
            <w:r>
              <w:rPr>
                <w:b w:val="0"/>
                <w:sz w:val="15"/>
              </w:rPr>
              <w:t>Every calculation line must include evidence_refs and legal_basis.</w:t>
            </w:r>
          </w:p>
        </w:tc>
      </w:tr>
      <w:tr>
        <w:tc>
          <w:tcPr>
            <w:tcW w:type="dxa" w:w="2592"/>
            <w:vAlign w:val="center"/>
          </w:tcPr>
          <w:p>
            <w:pPr>
              <w:spacing w:after="0"/>
            </w:pPr>
            <w:r/>
            <w:r>
              <w:rPr>
                <w:b w:val="0"/>
                <w:sz w:val="15"/>
              </w:rPr>
              <w:t>Carta de despido only a generic input</w:t>
            </w:r>
          </w:p>
        </w:tc>
        <w:tc>
          <w:tcPr>
            <w:tcW w:type="dxa" w:w="3024"/>
            <w:vAlign w:val="center"/>
          </w:tcPr>
          <w:p>
            <w:pPr>
              <w:spacing w:after="0"/>
            </w:pPr>
            <w:r/>
            <w:r>
              <w:rPr>
                <w:b w:val="0"/>
                <w:sz w:val="15"/>
              </w:rPr>
              <w:t>Generic art. 161 letters are vulnerable.</w:t>
            </w:r>
          </w:p>
        </w:tc>
        <w:tc>
          <w:tcPr>
            <w:tcW w:type="dxa" w:w="4608"/>
            <w:vAlign w:val="center"/>
          </w:tcPr>
          <w:p>
            <w:pPr>
              <w:spacing w:after="0"/>
            </w:pPr>
            <w:r/>
            <w:r>
              <w:rPr>
                <w:b w:val="0"/>
                <w:sz w:val="15"/>
              </w:rPr>
              <w:t>Add dismissal letter analyzer and required fact matrix.</w:t>
            </w:r>
          </w:p>
        </w:tc>
      </w:tr>
      <w:tr>
        <w:tc>
          <w:tcPr>
            <w:tcW w:type="dxa" w:w="2592"/>
            <w:vAlign w:val="center"/>
          </w:tcPr>
          <w:p>
            <w:pPr>
              <w:spacing w:after="0"/>
            </w:pPr>
            <w:r/>
            <w:r>
              <w:rPr>
                <w:b w:val="0"/>
                <w:sz w:val="15"/>
              </w:rPr>
              <w:t>Finiquito treated as closing document</w:t>
            </w:r>
          </w:p>
        </w:tc>
        <w:tc>
          <w:tcPr>
            <w:tcW w:type="dxa" w:w="3024"/>
            <w:vAlign w:val="center"/>
          </w:tcPr>
          <w:p>
            <w:pPr>
              <w:spacing w:after="0"/>
            </w:pPr>
            <w:r/>
            <w:r>
              <w:rPr>
                <w:b w:val="0"/>
                <w:sz w:val="15"/>
              </w:rPr>
              <w:t>Finiquito/caducidad defenses can fail.</w:t>
            </w:r>
          </w:p>
        </w:tc>
        <w:tc>
          <w:tcPr>
            <w:tcW w:type="dxa" w:w="4608"/>
            <w:vAlign w:val="center"/>
          </w:tcPr>
          <w:p>
            <w:pPr>
              <w:spacing w:after="0"/>
            </w:pPr>
            <w:r/>
            <w:r>
              <w:rPr>
                <w:b w:val="0"/>
                <w:sz w:val="15"/>
              </w:rPr>
              <w:t>Add finiquito execution and reservation-of-rights module.</w:t>
            </w:r>
          </w:p>
        </w:tc>
      </w:tr>
      <w:tr>
        <w:tc>
          <w:tcPr>
            <w:tcW w:type="dxa" w:w="2592"/>
            <w:vAlign w:val="center"/>
          </w:tcPr>
          <w:p>
            <w:pPr>
              <w:spacing w:after="0"/>
            </w:pPr>
            <w:r/>
            <w:r>
              <w:rPr>
                <w:b w:val="0"/>
                <w:sz w:val="15"/>
              </w:rPr>
              <w:t>Cotizaciones only true/false</w:t>
            </w:r>
          </w:p>
        </w:tc>
        <w:tc>
          <w:tcPr>
            <w:tcW w:type="dxa" w:w="3024"/>
            <w:vAlign w:val="center"/>
          </w:tcPr>
          <w:p>
            <w:pPr>
              <w:spacing w:after="0"/>
            </w:pPr>
            <w:r/>
            <w:r>
              <w:rPr>
                <w:b w:val="0"/>
                <w:sz w:val="15"/>
              </w:rPr>
              <w:t>Nulidad exposure can exceed finiquito.</w:t>
            </w:r>
          </w:p>
        </w:tc>
        <w:tc>
          <w:tcPr>
            <w:tcW w:type="dxa" w:w="4608"/>
            <w:vAlign w:val="center"/>
          </w:tcPr>
          <w:p>
            <w:pPr>
              <w:spacing w:after="0"/>
            </w:pPr>
            <w:r/>
            <w:r>
              <w:rPr>
                <w:b w:val="0"/>
                <w:sz w:val="15"/>
              </w:rPr>
              <w:t>Add unpaid cotizaciones exposure model.</w:t>
            </w:r>
          </w:p>
        </w:tc>
      </w:tr>
      <w:tr>
        <w:tc>
          <w:tcPr>
            <w:tcW w:type="dxa" w:w="2592"/>
            <w:vAlign w:val="center"/>
          </w:tcPr>
          <w:p>
            <w:pPr>
              <w:spacing w:after="0"/>
            </w:pPr>
            <w:r/>
            <w:r>
              <w:rPr>
                <w:b w:val="0"/>
                <w:sz w:val="15"/>
              </w:rPr>
              <w:t>AFC offset only warning</w:t>
            </w:r>
          </w:p>
        </w:tc>
        <w:tc>
          <w:tcPr>
            <w:tcW w:type="dxa" w:w="3024"/>
            <w:vAlign w:val="center"/>
          </w:tcPr>
          <w:p>
            <w:pPr>
              <w:spacing w:after="0"/>
            </w:pPr>
            <w:r/>
            <w:r>
              <w:rPr>
                <w:b w:val="0"/>
                <w:sz w:val="15"/>
              </w:rPr>
              <w:t>Courts order refund if causal improcedent.</w:t>
            </w:r>
          </w:p>
        </w:tc>
        <w:tc>
          <w:tcPr>
            <w:tcW w:type="dxa" w:w="4608"/>
            <w:vAlign w:val="center"/>
          </w:tcPr>
          <w:p>
            <w:pPr>
              <w:spacing w:after="0"/>
            </w:pPr>
            <w:r/>
            <w:r>
              <w:rPr>
                <w:b w:val="0"/>
                <w:sz w:val="15"/>
              </w:rPr>
              <w:t>Block AFC offset unless partner-approved and risk-disclosed.</w:t>
            </w:r>
          </w:p>
        </w:tc>
      </w:tr>
      <w:tr>
        <w:tc>
          <w:tcPr>
            <w:tcW w:type="dxa" w:w="2592"/>
            <w:vAlign w:val="center"/>
          </w:tcPr>
          <w:p>
            <w:pPr>
              <w:spacing w:after="0"/>
            </w:pPr>
            <w:r/>
            <w:r>
              <w:rPr>
                <w:b w:val="0"/>
                <w:sz w:val="15"/>
              </w:rPr>
              <w:t>Honorarios risk too simple</w:t>
            </w:r>
          </w:p>
        </w:tc>
        <w:tc>
          <w:tcPr>
            <w:tcW w:type="dxa" w:w="3024"/>
            <w:vAlign w:val="center"/>
          </w:tcPr>
          <w:p>
            <w:pPr>
              <w:spacing w:after="0"/>
            </w:pPr>
            <w:r/>
            <w:r>
              <w:rPr>
                <w:b w:val="0"/>
                <w:sz w:val="15"/>
              </w:rPr>
              <w:t>Recharacterization turns no-finiquito case into full labor claim.</w:t>
            </w:r>
          </w:p>
        </w:tc>
        <w:tc>
          <w:tcPr>
            <w:tcW w:type="dxa" w:w="4608"/>
            <w:vAlign w:val="center"/>
          </w:tcPr>
          <w:p>
            <w:pPr>
              <w:spacing w:after="0"/>
            </w:pPr>
            <w:r/>
            <w:r>
              <w:rPr>
                <w:b w:val="0"/>
                <w:sz w:val="15"/>
              </w:rPr>
              <w:t>Add weighted subordination/dependence evidence score.</w:t>
            </w:r>
          </w:p>
        </w:tc>
      </w:tr>
    </w:tbl>
    <w:p/>
    <w:p>
      <w:pPr>
        <w:pStyle w:val="Heading1"/>
      </w:pPr>
      <w:r>
        <w:t>3. New package files to add</w:t>
      </w:r>
    </w:p>
    <w:tbl>
      <w:tblPr>
        <w:tblStyle w:val="TableGrid"/>
        <w:tblW w:type="auto" w:w="0"/>
        <w:jc w:val="center"/>
        <w:tblLook w:firstColumn="1" w:firstRow="1" w:lastColumn="0" w:lastRow="0" w:noHBand="0" w:noVBand="1" w:val="04A0"/>
      </w:tblPr>
      <w:tblGrid>
        <w:gridCol w:w="3024"/>
        <w:gridCol w:w="3384"/>
        <w:gridCol w:w="3816"/>
      </w:tblGrid>
      <w:tr>
        <w:tc>
          <w:tcPr>
            <w:tcW w:type="dxa" w:w="3408"/>
            <w:vAlign w:val="center"/>
            <w:shd w:fill="EAF2F8"/>
          </w:tcPr>
          <w:p>
            <w:pPr>
              <w:spacing w:after="0"/>
            </w:pPr>
            <w:r/>
            <w:r>
              <w:rPr>
                <w:b/>
                <w:sz w:val="16"/>
              </w:rPr>
              <w:t>Path</w:t>
            </w:r>
          </w:p>
        </w:tc>
        <w:tc>
          <w:tcPr>
            <w:tcW w:type="dxa" w:w="3408"/>
            <w:vAlign w:val="center"/>
            <w:shd w:fill="EAF2F8"/>
          </w:tcPr>
          <w:p>
            <w:pPr>
              <w:spacing w:after="0"/>
            </w:pPr>
            <w:r/>
            <w:r>
              <w:rPr>
                <w:b/>
                <w:sz w:val="16"/>
              </w:rPr>
              <w:t>Purpose</w:t>
            </w:r>
          </w:p>
        </w:tc>
        <w:tc>
          <w:tcPr>
            <w:tcW w:type="dxa" w:w="3408"/>
            <w:vAlign w:val="center"/>
            <w:shd w:fill="EAF2F8"/>
          </w:tcPr>
          <w:p>
            <w:pPr>
              <w:spacing w:after="0"/>
            </w:pPr>
            <w:r/>
            <w:r>
              <w:rPr>
                <w:b/>
                <w:sz w:val="16"/>
              </w:rPr>
              <w:t>Developer notes</w:t>
            </w:r>
          </w:p>
        </w:tc>
      </w:tr>
      <w:tr>
        <w:tc>
          <w:tcPr>
            <w:tcW w:type="dxa" w:w="3024"/>
            <w:vAlign w:val="center"/>
          </w:tcPr>
          <w:p>
            <w:pPr>
              <w:spacing w:after="0"/>
            </w:pPr>
            <w:r/>
            <w:r>
              <w:rPr>
                <w:b w:val="0"/>
                <w:sz w:val="14"/>
              </w:rPr>
              <w:t>specs/litigation_proof_standard.md</w:t>
            </w:r>
          </w:p>
        </w:tc>
        <w:tc>
          <w:tcPr>
            <w:tcW w:type="dxa" w:w="3384"/>
            <w:vAlign w:val="center"/>
          </w:tcPr>
          <w:p>
            <w:pPr>
              <w:spacing w:after="0"/>
            </w:pPr>
            <w:r/>
            <w:r>
              <w:rPr>
                <w:b w:val="0"/>
                <w:sz w:val="14"/>
              </w:rPr>
              <w:t>Explains tribunal-proof standard and burden of proof.</w:t>
            </w:r>
          </w:p>
        </w:tc>
        <w:tc>
          <w:tcPr>
            <w:tcW w:type="dxa" w:w="3816"/>
            <w:vAlign w:val="center"/>
          </w:tcPr>
          <w:p>
            <w:pPr>
              <w:spacing w:after="0"/>
            </w:pPr>
            <w:r/>
            <w:r>
              <w:rPr>
                <w:b w:val="0"/>
                <w:sz w:val="14"/>
              </w:rPr>
              <w:t>Reference for dev + lawyers.</w:t>
            </w:r>
          </w:p>
        </w:tc>
      </w:tr>
      <w:tr>
        <w:tc>
          <w:tcPr>
            <w:tcW w:type="dxa" w:w="3024"/>
            <w:vAlign w:val="center"/>
          </w:tcPr>
          <w:p>
            <w:pPr>
              <w:spacing w:after="0"/>
            </w:pPr>
            <w:r/>
            <w:r>
              <w:rPr>
                <w:b w:val="0"/>
                <w:sz w:val="14"/>
              </w:rPr>
              <w:t>specs/evidence_matrix.md</w:t>
            </w:r>
          </w:p>
        </w:tc>
        <w:tc>
          <w:tcPr>
            <w:tcW w:type="dxa" w:w="3384"/>
            <w:vAlign w:val="center"/>
          </w:tcPr>
          <w:p>
            <w:pPr>
              <w:spacing w:after="0"/>
            </w:pPr>
            <w:r/>
            <w:r>
              <w:rPr>
                <w:b w:val="0"/>
                <w:sz w:val="14"/>
              </w:rPr>
              <w:t>Evidence required by causal and risk module.</w:t>
            </w:r>
          </w:p>
        </w:tc>
        <w:tc>
          <w:tcPr>
            <w:tcW w:type="dxa" w:w="3816"/>
            <w:vAlign w:val="center"/>
          </w:tcPr>
          <w:p>
            <w:pPr>
              <w:spacing w:after="0"/>
            </w:pPr>
            <w:r/>
            <w:r>
              <w:rPr>
                <w:b w:val="0"/>
                <w:sz w:val="14"/>
              </w:rPr>
              <w:t>Use to generate document checklist.</w:t>
            </w:r>
          </w:p>
        </w:tc>
      </w:tr>
      <w:tr>
        <w:tc>
          <w:tcPr>
            <w:tcW w:type="dxa" w:w="3024"/>
            <w:vAlign w:val="center"/>
          </w:tcPr>
          <w:p>
            <w:pPr>
              <w:spacing w:after="0"/>
            </w:pPr>
            <w:r/>
            <w:r>
              <w:rPr>
                <w:b w:val="0"/>
                <w:sz w:val="14"/>
              </w:rPr>
              <w:t>specs/carta_despido_requirements.md</w:t>
            </w:r>
          </w:p>
        </w:tc>
        <w:tc>
          <w:tcPr>
            <w:tcW w:type="dxa" w:w="3384"/>
            <w:vAlign w:val="center"/>
          </w:tcPr>
          <w:p>
            <w:pPr>
              <w:spacing w:after="0"/>
            </w:pPr>
            <w:r/>
            <w:r>
              <w:rPr>
                <w:b w:val="0"/>
                <w:sz w:val="14"/>
              </w:rPr>
              <w:t>Required facts and warnings for dismissal letter.</w:t>
            </w:r>
          </w:p>
        </w:tc>
        <w:tc>
          <w:tcPr>
            <w:tcW w:type="dxa" w:w="3816"/>
            <w:vAlign w:val="center"/>
          </w:tcPr>
          <w:p>
            <w:pPr>
              <w:spacing w:after="0"/>
            </w:pPr>
            <w:r/>
            <w:r>
              <w:rPr>
                <w:b w:val="0"/>
                <w:sz w:val="14"/>
              </w:rPr>
              <w:t>Input validation + report warnings.</w:t>
            </w:r>
          </w:p>
        </w:tc>
      </w:tr>
      <w:tr>
        <w:tc>
          <w:tcPr>
            <w:tcW w:type="dxa" w:w="3024"/>
            <w:vAlign w:val="center"/>
          </w:tcPr>
          <w:p>
            <w:pPr>
              <w:spacing w:after="0"/>
            </w:pPr>
            <w:r/>
            <w:r>
              <w:rPr>
                <w:b w:val="0"/>
                <w:sz w:val="14"/>
              </w:rPr>
              <w:t>specs/tribunal_export_spec.md</w:t>
            </w:r>
          </w:p>
        </w:tc>
        <w:tc>
          <w:tcPr>
            <w:tcW w:type="dxa" w:w="3384"/>
            <w:vAlign w:val="center"/>
          </w:tcPr>
          <w:p>
            <w:pPr>
              <w:spacing w:after="0"/>
            </w:pPr>
            <w:r/>
            <w:r>
              <w:rPr>
                <w:b w:val="0"/>
                <w:sz w:val="14"/>
              </w:rPr>
              <w:t>Defines exportable case file for litigation.</w:t>
            </w:r>
          </w:p>
        </w:tc>
        <w:tc>
          <w:tcPr>
            <w:tcW w:type="dxa" w:w="3816"/>
            <w:vAlign w:val="center"/>
          </w:tcPr>
          <w:p>
            <w:pPr>
              <w:spacing w:after="0"/>
            </w:pPr>
            <w:r/>
            <w:r>
              <w:rPr>
                <w:b w:val="0"/>
                <w:sz w:val="14"/>
              </w:rPr>
              <w:t>Bundle all evidence, trace, approvals.</w:t>
            </w:r>
          </w:p>
        </w:tc>
      </w:tr>
      <w:tr>
        <w:tc>
          <w:tcPr>
            <w:tcW w:type="dxa" w:w="3024"/>
            <w:vAlign w:val="center"/>
          </w:tcPr>
          <w:p>
            <w:pPr>
              <w:spacing w:after="0"/>
            </w:pPr>
            <w:r/>
            <w:r>
              <w:rPr>
                <w:b w:val="0"/>
                <w:sz w:val="14"/>
              </w:rPr>
              <w:t>schemas/evidence_item.schema.json</w:t>
            </w:r>
          </w:p>
        </w:tc>
        <w:tc>
          <w:tcPr>
            <w:tcW w:type="dxa" w:w="3384"/>
            <w:vAlign w:val="center"/>
          </w:tcPr>
          <w:p>
            <w:pPr>
              <w:spacing w:after="0"/>
            </w:pPr>
            <w:r/>
            <w:r>
              <w:rPr>
                <w:b w:val="0"/>
                <w:sz w:val="14"/>
              </w:rPr>
              <w:t>Schema for each evidence record.</w:t>
            </w:r>
          </w:p>
        </w:tc>
        <w:tc>
          <w:tcPr>
            <w:tcW w:type="dxa" w:w="3816"/>
            <w:vAlign w:val="center"/>
          </w:tcPr>
          <w:p>
            <w:pPr>
              <w:spacing w:after="0"/>
            </w:pPr>
            <w:r/>
            <w:r>
              <w:rPr>
                <w:b w:val="0"/>
                <w:sz w:val="14"/>
              </w:rPr>
              <w:t>Every document/email/certificate gets metadata.</w:t>
            </w:r>
          </w:p>
        </w:tc>
      </w:tr>
      <w:tr>
        <w:tc>
          <w:tcPr>
            <w:tcW w:type="dxa" w:w="3024"/>
            <w:vAlign w:val="center"/>
          </w:tcPr>
          <w:p>
            <w:pPr>
              <w:spacing w:after="0"/>
            </w:pPr>
            <w:r/>
            <w:r>
              <w:rPr>
                <w:b w:val="0"/>
                <w:sz w:val="14"/>
              </w:rPr>
              <w:t>schemas/dismissal_letter.schema.json</w:t>
            </w:r>
          </w:p>
        </w:tc>
        <w:tc>
          <w:tcPr>
            <w:tcW w:type="dxa" w:w="3384"/>
            <w:vAlign w:val="center"/>
          </w:tcPr>
          <w:p>
            <w:pPr>
              <w:spacing w:after="0"/>
            </w:pPr>
            <w:r/>
            <w:r>
              <w:rPr>
                <w:b w:val="0"/>
                <w:sz w:val="14"/>
              </w:rPr>
              <w:t>Structured data from carta de despido.</w:t>
            </w:r>
          </w:p>
        </w:tc>
        <w:tc>
          <w:tcPr>
            <w:tcW w:type="dxa" w:w="3816"/>
            <w:vAlign w:val="center"/>
          </w:tcPr>
          <w:p>
            <w:pPr>
              <w:spacing w:after="0"/>
            </w:pPr>
            <w:r/>
            <w:r>
              <w:rPr>
                <w:b w:val="0"/>
                <w:sz w:val="14"/>
              </w:rPr>
              <w:t>Supports OCR/NLP extraction later.</w:t>
            </w:r>
          </w:p>
        </w:tc>
      </w:tr>
      <w:tr>
        <w:tc>
          <w:tcPr>
            <w:tcW w:type="dxa" w:w="3024"/>
            <w:vAlign w:val="center"/>
          </w:tcPr>
          <w:p>
            <w:pPr>
              <w:spacing w:after="0"/>
            </w:pPr>
            <w:r/>
            <w:r>
              <w:rPr>
                <w:b w:val="0"/>
                <w:sz w:val="14"/>
              </w:rPr>
              <w:t>schemas/finiquito_execution.schema.json</w:t>
            </w:r>
          </w:p>
        </w:tc>
        <w:tc>
          <w:tcPr>
            <w:tcW w:type="dxa" w:w="3384"/>
            <w:vAlign w:val="center"/>
          </w:tcPr>
          <w:p>
            <w:pPr>
              <w:spacing w:after="0"/>
            </w:pPr>
            <w:r/>
            <w:r>
              <w:rPr>
                <w:b w:val="0"/>
                <w:sz w:val="14"/>
              </w:rPr>
              <w:t>Signature, ratification, payment, reservation.</w:t>
            </w:r>
          </w:p>
        </w:tc>
        <w:tc>
          <w:tcPr>
            <w:tcW w:type="dxa" w:w="3816"/>
            <w:vAlign w:val="center"/>
          </w:tcPr>
          <w:p>
            <w:pPr>
              <w:spacing w:after="0"/>
            </w:pPr>
            <w:r/>
            <w:r>
              <w:rPr>
                <w:b w:val="0"/>
                <w:sz w:val="14"/>
              </w:rPr>
              <w:t>Required before closing case.</w:t>
            </w:r>
          </w:p>
        </w:tc>
      </w:tr>
      <w:tr>
        <w:tc>
          <w:tcPr>
            <w:tcW w:type="dxa" w:w="3024"/>
            <w:vAlign w:val="center"/>
          </w:tcPr>
          <w:p>
            <w:pPr>
              <w:spacing w:after="0"/>
            </w:pPr>
            <w:r/>
            <w:r>
              <w:rPr>
                <w:b w:val="0"/>
                <w:sz w:val="14"/>
              </w:rPr>
              <w:t>schemas/litigation_casefile.schema.json</w:t>
            </w:r>
          </w:p>
        </w:tc>
        <w:tc>
          <w:tcPr>
            <w:tcW w:type="dxa" w:w="3384"/>
            <w:vAlign w:val="center"/>
          </w:tcPr>
          <w:p>
            <w:pPr>
              <w:spacing w:after="0"/>
            </w:pPr>
            <w:r/>
            <w:r>
              <w:rPr>
                <w:b w:val="0"/>
                <w:sz w:val="14"/>
              </w:rPr>
              <w:t>Full tribunal defense package.</w:t>
            </w:r>
          </w:p>
        </w:tc>
        <w:tc>
          <w:tcPr>
            <w:tcW w:type="dxa" w:w="3816"/>
            <w:vAlign w:val="center"/>
          </w:tcPr>
          <w:p>
            <w:pPr>
              <w:spacing w:after="0"/>
            </w:pPr>
            <w:r/>
            <w:r>
              <w:rPr>
                <w:b w:val="0"/>
                <w:sz w:val="14"/>
              </w:rPr>
              <w:t>Final audit/export object.</w:t>
            </w:r>
          </w:p>
        </w:tc>
      </w:tr>
      <w:tr>
        <w:tc>
          <w:tcPr>
            <w:tcW w:type="dxa" w:w="3024"/>
            <w:vAlign w:val="center"/>
          </w:tcPr>
          <w:p>
            <w:pPr>
              <w:spacing w:after="0"/>
            </w:pPr>
            <w:r/>
            <w:r>
              <w:rPr>
                <w:b w:val="0"/>
                <w:sz w:val="14"/>
              </w:rPr>
              <w:t>rules/evidence_requirements_by_cause.yaml</w:t>
            </w:r>
          </w:p>
        </w:tc>
        <w:tc>
          <w:tcPr>
            <w:tcW w:type="dxa" w:w="3384"/>
            <w:vAlign w:val="center"/>
          </w:tcPr>
          <w:p>
            <w:pPr>
              <w:spacing w:after="0"/>
            </w:pPr>
            <w:r/>
            <w:r>
              <w:rPr>
                <w:b w:val="0"/>
                <w:sz w:val="14"/>
              </w:rPr>
              <w:t>Required proof by causal.</w:t>
            </w:r>
          </w:p>
        </w:tc>
        <w:tc>
          <w:tcPr>
            <w:tcW w:type="dxa" w:w="3816"/>
            <w:vAlign w:val="center"/>
          </w:tcPr>
          <w:p>
            <w:pPr>
              <w:spacing w:after="0"/>
            </w:pPr>
            <w:r/>
            <w:r>
              <w:rPr>
                <w:b w:val="0"/>
                <w:sz w:val="14"/>
              </w:rPr>
              <w:t>Loaded by evidence engine.</w:t>
            </w:r>
          </w:p>
        </w:tc>
      </w:tr>
      <w:tr>
        <w:tc>
          <w:tcPr>
            <w:tcW w:type="dxa" w:w="3024"/>
            <w:vAlign w:val="center"/>
          </w:tcPr>
          <w:p>
            <w:pPr>
              <w:spacing w:after="0"/>
            </w:pPr>
            <w:r/>
            <w:r>
              <w:rPr>
                <w:b w:val="0"/>
                <w:sz w:val="14"/>
              </w:rPr>
              <w:t>rules/burden_of_proof_rules.yaml</w:t>
            </w:r>
          </w:p>
        </w:tc>
        <w:tc>
          <w:tcPr>
            <w:tcW w:type="dxa" w:w="3384"/>
            <w:vAlign w:val="center"/>
          </w:tcPr>
          <w:p>
            <w:pPr>
              <w:spacing w:after="0"/>
            </w:pPr>
            <w:r/>
            <w:r>
              <w:rPr>
                <w:b w:val="0"/>
                <w:sz w:val="14"/>
              </w:rPr>
              <w:t>Which party/fact burden the employer must satisfy.</w:t>
            </w:r>
          </w:p>
        </w:tc>
        <w:tc>
          <w:tcPr>
            <w:tcW w:type="dxa" w:w="3816"/>
            <w:vAlign w:val="center"/>
          </w:tcPr>
          <w:p>
            <w:pPr>
              <w:spacing w:after="0"/>
            </w:pPr>
            <w:r/>
            <w:r>
              <w:rPr>
                <w:b w:val="0"/>
                <w:sz w:val="14"/>
              </w:rPr>
              <w:t>Controls blockers/warnings.</w:t>
            </w:r>
          </w:p>
        </w:tc>
      </w:tr>
      <w:tr>
        <w:tc>
          <w:tcPr>
            <w:tcW w:type="dxa" w:w="3024"/>
            <w:vAlign w:val="center"/>
          </w:tcPr>
          <w:p>
            <w:pPr>
              <w:spacing w:after="0"/>
            </w:pPr>
            <w:r/>
            <w:r>
              <w:rPr>
                <w:b w:val="0"/>
                <w:sz w:val="14"/>
              </w:rPr>
              <w:t>rules/court_risk_rules.yaml</w:t>
            </w:r>
          </w:p>
        </w:tc>
        <w:tc>
          <w:tcPr>
            <w:tcW w:type="dxa" w:w="3384"/>
            <w:vAlign w:val="center"/>
          </w:tcPr>
          <w:p>
            <w:pPr>
              <w:spacing w:after="0"/>
            </w:pPr>
            <w:r/>
            <w:r>
              <w:rPr>
                <w:b w:val="0"/>
                <w:sz w:val="14"/>
              </w:rPr>
              <w:t>Risk scoring based on recent jurisprudence.</w:t>
            </w:r>
          </w:p>
        </w:tc>
        <w:tc>
          <w:tcPr>
            <w:tcW w:type="dxa" w:w="3816"/>
            <w:vAlign w:val="center"/>
          </w:tcPr>
          <w:p>
            <w:pPr>
              <w:spacing w:after="0"/>
            </w:pPr>
            <w:r/>
            <w:r>
              <w:rPr>
                <w:b w:val="0"/>
                <w:sz w:val="14"/>
              </w:rPr>
              <w:t>Versioned with source links.</w:t>
            </w:r>
          </w:p>
        </w:tc>
      </w:tr>
      <w:tr>
        <w:tc>
          <w:tcPr>
            <w:tcW w:type="dxa" w:w="3024"/>
            <w:vAlign w:val="center"/>
          </w:tcPr>
          <w:p>
            <w:pPr>
              <w:spacing w:after="0"/>
            </w:pPr>
            <w:r/>
            <w:r>
              <w:rPr>
                <w:b w:val="0"/>
                <w:sz w:val="14"/>
              </w:rPr>
              <w:t>src/evidence_engine.ts</w:t>
            </w:r>
          </w:p>
        </w:tc>
        <w:tc>
          <w:tcPr>
            <w:tcW w:type="dxa" w:w="3384"/>
            <w:vAlign w:val="center"/>
          </w:tcPr>
          <w:p>
            <w:pPr>
              <w:spacing w:after="0"/>
            </w:pPr>
            <w:r/>
            <w:r>
              <w:rPr>
                <w:b w:val="0"/>
                <w:sz w:val="14"/>
              </w:rPr>
              <w:t>Validates proof sufficiency.</w:t>
            </w:r>
          </w:p>
        </w:tc>
        <w:tc>
          <w:tcPr>
            <w:tcW w:type="dxa" w:w="3816"/>
            <w:vAlign w:val="center"/>
          </w:tcPr>
          <w:p>
            <w:pPr>
              <w:spacing w:after="0"/>
            </w:pPr>
            <w:r/>
            <w:r>
              <w:rPr>
                <w:b w:val="0"/>
                <w:sz w:val="14"/>
              </w:rPr>
              <w:t>Core Fix1 module.</w:t>
            </w:r>
          </w:p>
        </w:tc>
      </w:tr>
      <w:tr>
        <w:tc>
          <w:tcPr>
            <w:tcW w:type="dxa" w:w="3024"/>
            <w:vAlign w:val="center"/>
          </w:tcPr>
          <w:p>
            <w:pPr>
              <w:spacing w:after="0"/>
            </w:pPr>
            <w:r/>
            <w:r>
              <w:rPr>
                <w:b w:val="0"/>
                <w:sz w:val="14"/>
              </w:rPr>
              <w:t>src/burden_of_proof_engine.ts</w:t>
            </w:r>
          </w:p>
        </w:tc>
        <w:tc>
          <w:tcPr>
            <w:tcW w:type="dxa" w:w="3384"/>
            <w:vAlign w:val="center"/>
          </w:tcPr>
          <w:p>
            <w:pPr>
              <w:spacing w:after="0"/>
            </w:pPr>
            <w:r/>
            <w:r>
              <w:rPr>
                <w:b w:val="0"/>
                <w:sz w:val="14"/>
              </w:rPr>
              <w:t>Maps claim/cause to required proof.</w:t>
            </w:r>
          </w:p>
        </w:tc>
        <w:tc>
          <w:tcPr>
            <w:tcW w:type="dxa" w:w="3816"/>
            <w:vAlign w:val="center"/>
          </w:tcPr>
          <w:p>
            <w:pPr>
              <w:spacing w:after="0"/>
            </w:pPr>
            <w:r/>
            <w:r>
              <w:rPr>
                <w:b w:val="0"/>
                <w:sz w:val="14"/>
              </w:rPr>
              <w:t>Used before report approval.</w:t>
            </w:r>
          </w:p>
        </w:tc>
      </w:tr>
      <w:tr>
        <w:tc>
          <w:tcPr>
            <w:tcW w:type="dxa" w:w="3024"/>
            <w:vAlign w:val="center"/>
          </w:tcPr>
          <w:p>
            <w:pPr>
              <w:spacing w:after="0"/>
            </w:pPr>
            <w:r/>
            <w:r>
              <w:rPr>
                <w:b w:val="0"/>
                <w:sz w:val="14"/>
              </w:rPr>
              <w:t>src/tribunal_export.ts</w:t>
            </w:r>
          </w:p>
        </w:tc>
        <w:tc>
          <w:tcPr>
            <w:tcW w:type="dxa" w:w="3384"/>
            <w:vAlign w:val="center"/>
          </w:tcPr>
          <w:p>
            <w:pPr>
              <w:spacing w:after="0"/>
            </w:pPr>
            <w:r/>
            <w:r>
              <w:rPr>
                <w:b w:val="0"/>
                <w:sz w:val="14"/>
              </w:rPr>
              <w:t>Builds tribunal-ready zip/report.</w:t>
            </w:r>
          </w:p>
        </w:tc>
        <w:tc>
          <w:tcPr>
            <w:tcW w:type="dxa" w:w="3816"/>
            <w:vAlign w:val="center"/>
          </w:tcPr>
          <w:p>
            <w:pPr>
              <w:spacing w:after="0"/>
            </w:pPr>
            <w:r/>
            <w:r>
              <w:rPr>
                <w:b w:val="0"/>
                <w:sz w:val="14"/>
              </w:rPr>
              <w:t>Includes manifest and hash.</w:t>
            </w:r>
          </w:p>
        </w:tc>
      </w:tr>
    </w:tbl>
    <w:p/>
    <w:p>
      <w:pPr>
        <w:pStyle w:val="Heading1"/>
      </w:pPr>
      <w:r>
        <w:t>4. Data model changes</w:t>
      </w:r>
    </w:p>
    <w:p>
      <w:r>
        <w:t>Add the following objects to the current schemas.</w:t>
      </w:r>
    </w:p>
    <w:tbl>
      <w:tblPr>
        <w:tblStyle w:val="TableGrid"/>
        <w:tblW w:type="auto" w:w="0"/>
        <w:jc w:val="center"/>
        <w:tblLook w:firstColumn="1" w:firstRow="1" w:lastColumn="0" w:lastRow="0" w:noHBand="0" w:noVBand="1" w:val="04A0"/>
      </w:tblPr>
      <w:tblGrid>
        <w:gridCol w:w="2160"/>
        <w:gridCol w:w="5184"/>
        <w:gridCol w:w="2880"/>
      </w:tblGrid>
      <w:tr>
        <w:tc>
          <w:tcPr>
            <w:tcW w:type="dxa" w:w="3408"/>
            <w:vAlign w:val="center"/>
            <w:shd w:fill="EAF2F8"/>
          </w:tcPr>
          <w:p>
            <w:pPr>
              <w:spacing w:after="0"/>
            </w:pPr>
            <w:r/>
            <w:r>
              <w:rPr>
                <w:b/>
                <w:sz w:val="16"/>
              </w:rPr>
              <w:t>Object</w:t>
            </w:r>
          </w:p>
        </w:tc>
        <w:tc>
          <w:tcPr>
            <w:tcW w:type="dxa" w:w="3408"/>
            <w:vAlign w:val="center"/>
            <w:shd w:fill="EAF2F8"/>
          </w:tcPr>
          <w:p>
            <w:pPr>
              <w:spacing w:after="0"/>
            </w:pPr>
            <w:r/>
            <w:r>
              <w:rPr>
                <w:b/>
                <w:sz w:val="16"/>
              </w:rPr>
              <w:t>Required fields</w:t>
            </w:r>
          </w:p>
        </w:tc>
        <w:tc>
          <w:tcPr>
            <w:tcW w:type="dxa" w:w="3408"/>
            <w:vAlign w:val="center"/>
            <w:shd w:fill="EAF2F8"/>
          </w:tcPr>
          <w:p>
            <w:pPr>
              <w:spacing w:after="0"/>
            </w:pPr>
            <w:r/>
            <w:r>
              <w:rPr>
                <w:b/>
                <w:sz w:val="16"/>
              </w:rPr>
              <w:t>Purpose</w:t>
            </w:r>
          </w:p>
        </w:tc>
      </w:tr>
      <w:tr>
        <w:tc>
          <w:tcPr>
            <w:tcW w:type="dxa" w:w="2160"/>
            <w:vAlign w:val="center"/>
          </w:tcPr>
          <w:p>
            <w:pPr>
              <w:spacing w:after="0"/>
            </w:pPr>
            <w:r/>
            <w:r>
              <w:rPr>
                <w:b w:val="0"/>
                <w:sz w:val="14"/>
              </w:rPr>
              <w:t>EvidenceItem</w:t>
            </w:r>
          </w:p>
        </w:tc>
        <w:tc>
          <w:tcPr>
            <w:tcW w:type="dxa" w:w="5184"/>
            <w:vAlign w:val="center"/>
          </w:tcPr>
          <w:p>
            <w:pPr>
              <w:spacing w:after="0"/>
            </w:pPr>
            <w:r/>
            <w:r>
              <w:rPr>
                <w:b w:val="0"/>
                <w:sz w:val="14"/>
              </w:rPr>
              <w:t>id, type, file_name, source, date, author, received_from, hash, related_facts, admissibility_status</w:t>
            </w:r>
          </w:p>
        </w:tc>
        <w:tc>
          <w:tcPr>
            <w:tcW w:type="dxa" w:w="2880"/>
            <w:vAlign w:val="center"/>
          </w:tcPr>
          <w:p>
            <w:pPr>
              <w:spacing w:after="0"/>
            </w:pPr>
            <w:r/>
            <w:r>
              <w:rPr>
                <w:b w:val="0"/>
                <w:sz w:val="14"/>
              </w:rPr>
              <w:t>Makes each document traceable and court-usable.</w:t>
            </w:r>
          </w:p>
        </w:tc>
      </w:tr>
      <w:tr>
        <w:tc>
          <w:tcPr>
            <w:tcW w:type="dxa" w:w="2160"/>
            <w:vAlign w:val="center"/>
          </w:tcPr>
          <w:p>
            <w:pPr>
              <w:spacing w:after="0"/>
            </w:pPr>
            <w:r/>
            <w:r>
              <w:rPr>
                <w:b w:val="0"/>
                <w:sz w:val="14"/>
              </w:rPr>
              <w:t>DismissalLetter</w:t>
            </w:r>
          </w:p>
        </w:tc>
        <w:tc>
          <w:tcPr>
            <w:tcW w:type="dxa" w:w="5184"/>
            <w:vAlign w:val="center"/>
          </w:tcPr>
          <w:p>
            <w:pPr>
              <w:spacing w:after="0"/>
            </w:pPr>
            <w:r/>
            <w:r>
              <w:rPr>
                <w:b w:val="0"/>
                <w:sz w:val="14"/>
              </w:rPr>
              <w:t>cause_code, article, facts, dates, delivery_method, dt_filing, amounts_stated, cotizaciones_statement</w:t>
            </w:r>
          </w:p>
        </w:tc>
        <w:tc>
          <w:tcPr>
            <w:tcW w:type="dxa" w:w="2880"/>
            <w:vAlign w:val="center"/>
          </w:tcPr>
          <w:p>
            <w:pPr>
              <w:spacing w:after="0"/>
            </w:pPr>
            <w:r/>
            <w:r>
              <w:rPr>
                <w:b w:val="0"/>
                <w:sz w:val="14"/>
              </w:rPr>
              <w:t>Controls whether the dismissal letter can support the causal.</w:t>
            </w:r>
          </w:p>
        </w:tc>
      </w:tr>
      <w:tr>
        <w:tc>
          <w:tcPr>
            <w:tcW w:type="dxa" w:w="2160"/>
            <w:vAlign w:val="center"/>
          </w:tcPr>
          <w:p>
            <w:pPr>
              <w:spacing w:after="0"/>
            </w:pPr>
            <w:r/>
            <w:r>
              <w:rPr>
                <w:b w:val="0"/>
                <w:sz w:val="14"/>
              </w:rPr>
              <w:t>BurdenOfProofFact</w:t>
            </w:r>
          </w:p>
        </w:tc>
        <w:tc>
          <w:tcPr>
            <w:tcW w:type="dxa" w:w="5184"/>
            <w:vAlign w:val="center"/>
          </w:tcPr>
          <w:p>
            <w:pPr>
              <w:spacing w:after="0"/>
            </w:pPr>
            <w:r/>
            <w:r>
              <w:rPr>
                <w:b w:val="0"/>
                <w:sz w:val="14"/>
              </w:rPr>
              <w:t>fact_id, party_burden, required_evidence_types, provided_evidence_refs, sufficiency_score</w:t>
            </w:r>
          </w:p>
        </w:tc>
        <w:tc>
          <w:tcPr>
            <w:tcW w:type="dxa" w:w="2880"/>
            <w:vAlign w:val="center"/>
          </w:tcPr>
          <w:p>
            <w:pPr>
              <w:spacing w:after="0"/>
            </w:pPr>
            <w:r/>
            <w:r>
              <w:rPr>
                <w:b w:val="0"/>
                <w:sz w:val="14"/>
              </w:rPr>
              <w:t>Shows whether employer can prove each fact.</w:t>
            </w:r>
          </w:p>
        </w:tc>
      </w:tr>
      <w:tr>
        <w:tc>
          <w:tcPr>
            <w:tcW w:type="dxa" w:w="2160"/>
            <w:vAlign w:val="center"/>
          </w:tcPr>
          <w:p>
            <w:pPr>
              <w:spacing w:after="0"/>
            </w:pPr>
            <w:r/>
            <w:r>
              <w:rPr>
                <w:b w:val="0"/>
                <w:sz w:val="14"/>
              </w:rPr>
              <w:t>FiniquitoExecution</w:t>
            </w:r>
          </w:p>
        </w:tc>
        <w:tc>
          <w:tcPr>
            <w:tcW w:type="dxa" w:w="5184"/>
            <w:vAlign w:val="center"/>
          </w:tcPr>
          <w:p>
            <w:pPr>
              <w:spacing w:after="0"/>
            </w:pPr>
            <w:r/>
            <w:r>
              <w:rPr>
                <w:b w:val="0"/>
                <w:sz w:val="14"/>
              </w:rPr>
              <w:t>available_date, payment_date, signed, ratified, minister_of_faith, reservation_text, disputed_items</w:t>
            </w:r>
          </w:p>
        </w:tc>
        <w:tc>
          <w:tcPr>
            <w:tcW w:type="dxa" w:w="2880"/>
            <w:vAlign w:val="center"/>
          </w:tcPr>
          <w:p>
            <w:pPr>
              <w:spacing w:after="0"/>
            </w:pPr>
            <w:r/>
            <w:r>
              <w:rPr>
                <w:b w:val="0"/>
                <w:sz w:val="14"/>
              </w:rPr>
              <w:t>Determines whether finiquito defense is strong.</w:t>
            </w:r>
          </w:p>
        </w:tc>
      </w:tr>
      <w:tr>
        <w:tc>
          <w:tcPr>
            <w:tcW w:type="dxa" w:w="2160"/>
            <w:vAlign w:val="center"/>
          </w:tcPr>
          <w:p>
            <w:pPr>
              <w:spacing w:after="0"/>
            </w:pPr>
            <w:r/>
            <w:r>
              <w:rPr>
                <w:b w:val="0"/>
                <w:sz w:val="14"/>
              </w:rPr>
              <w:t>LitigationCaseFile</w:t>
            </w:r>
          </w:p>
        </w:tc>
        <w:tc>
          <w:tcPr>
            <w:tcW w:type="dxa" w:w="5184"/>
            <w:vAlign w:val="center"/>
          </w:tcPr>
          <w:p>
            <w:pPr>
              <w:spacing w:after="0"/>
            </w:pPr>
            <w:r/>
            <w:r>
              <w:rPr>
                <w:b w:val="0"/>
                <w:sz w:val="14"/>
              </w:rPr>
              <w:t>case_id, legal_theory, evidence_manifest, calculation_trace, workflow_approvals, risk_flags, export_timestamp</w:t>
            </w:r>
          </w:p>
        </w:tc>
        <w:tc>
          <w:tcPr>
            <w:tcW w:type="dxa" w:w="2880"/>
            <w:vAlign w:val="center"/>
          </w:tcPr>
          <w:p>
            <w:pPr>
              <w:spacing w:after="0"/>
            </w:pPr>
            <w:r/>
            <w:r>
              <w:rPr>
                <w:b w:val="0"/>
                <w:sz w:val="14"/>
              </w:rPr>
              <w:t>Tribunal-facing package.</w:t>
            </w:r>
          </w:p>
        </w:tc>
      </w:tr>
    </w:tbl>
    <w:p/>
    <w:p>
      <w:pPr>
        <w:pStyle w:val="Heading1"/>
      </w:pPr>
      <w:r>
        <w:t>5. Litigation-proof workflow</w:t>
      </w:r>
    </w:p>
    <w:tbl>
      <w:tblPr>
        <w:tblStyle w:val="TableGrid"/>
        <w:tblW w:type="auto" w:w="0"/>
        <w:jc w:val="center"/>
        <w:tblLook w:firstColumn="1" w:firstRow="1" w:lastColumn="0" w:lastRow="0" w:noHBand="0" w:noVBand="1" w:val="04A0"/>
      </w:tblPr>
      <w:tblGrid>
        <w:gridCol w:w="504"/>
        <w:gridCol w:w="1728"/>
        <w:gridCol w:w="3888"/>
        <w:gridCol w:w="2448"/>
        <w:gridCol w:w="1440"/>
      </w:tblGrid>
      <w:tr>
        <w:tc>
          <w:tcPr>
            <w:tcW w:type="dxa" w:w="2045"/>
            <w:vAlign w:val="center"/>
            <w:shd w:fill="EAF2F8"/>
          </w:tcPr>
          <w:p>
            <w:pPr>
              <w:spacing w:after="0"/>
            </w:pPr>
            <w:r/>
            <w:r>
              <w:rPr>
                <w:b/>
                <w:sz w:val="16"/>
              </w:rPr>
              <w:t>#</w:t>
            </w:r>
          </w:p>
        </w:tc>
        <w:tc>
          <w:tcPr>
            <w:tcW w:type="dxa" w:w="2045"/>
            <w:vAlign w:val="center"/>
            <w:shd w:fill="EAF2F8"/>
          </w:tcPr>
          <w:p>
            <w:pPr>
              <w:spacing w:after="0"/>
            </w:pPr>
            <w:r/>
            <w:r>
              <w:rPr>
                <w:b/>
                <w:sz w:val="16"/>
              </w:rPr>
              <w:t>Stage</w:t>
            </w:r>
          </w:p>
        </w:tc>
        <w:tc>
          <w:tcPr>
            <w:tcW w:type="dxa" w:w="2045"/>
            <w:vAlign w:val="center"/>
            <w:shd w:fill="EAF2F8"/>
          </w:tcPr>
          <w:p>
            <w:pPr>
              <w:spacing w:after="0"/>
            </w:pPr>
            <w:r/>
            <w:r>
              <w:rPr>
                <w:b/>
                <w:sz w:val="16"/>
              </w:rPr>
              <w:t>Action</w:t>
            </w:r>
          </w:p>
        </w:tc>
        <w:tc>
          <w:tcPr>
            <w:tcW w:type="dxa" w:w="2045"/>
            <w:vAlign w:val="center"/>
            <w:shd w:fill="EAF2F8"/>
          </w:tcPr>
          <w:p>
            <w:pPr>
              <w:spacing w:after="0"/>
            </w:pPr>
            <w:r/>
            <w:r>
              <w:rPr>
                <w:b/>
                <w:sz w:val="16"/>
              </w:rPr>
              <w:t>Output</w:t>
            </w:r>
          </w:p>
        </w:tc>
        <w:tc>
          <w:tcPr>
            <w:tcW w:type="dxa" w:w="2045"/>
            <w:vAlign w:val="center"/>
            <w:shd w:fill="EAF2F8"/>
          </w:tcPr>
          <w:p>
            <w:pPr>
              <w:spacing w:after="0"/>
            </w:pPr>
            <w:r/>
            <w:r>
              <w:rPr>
                <w:b/>
                <w:sz w:val="16"/>
              </w:rPr>
              <w:t>Owner</w:t>
            </w:r>
          </w:p>
        </w:tc>
      </w:tr>
      <w:tr>
        <w:tc>
          <w:tcPr>
            <w:tcW w:type="dxa" w:w="504"/>
            <w:vAlign w:val="center"/>
          </w:tcPr>
          <w:p>
            <w:pPr>
              <w:spacing w:after="0"/>
            </w:pPr>
            <w:r/>
            <w:r>
              <w:rPr>
                <w:b w:val="0"/>
                <w:sz w:val="14"/>
              </w:rPr>
              <w:t>1</w:t>
            </w:r>
          </w:p>
        </w:tc>
        <w:tc>
          <w:tcPr>
            <w:tcW w:type="dxa" w:w="1728"/>
            <w:vAlign w:val="center"/>
          </w:tcPr>
          <w:p>
            <w:pPr>
              <w:spacing w:after="0"/>
            </w:pPr>
            <w:r/>
            <w:r>
              <w:rPr>
                <w:b w:val="0"/>
                <w:sz w:val="14"/>
              </w:rPr>
              <w:t>Intake</w:t>
            </w:r>
          </w:p>
        </w:tc>
        <w:tc>
          <w:tcPr>
            <w:tcW w:type="dxa" w:w="3888"/>
            <w:vAlign w:val="center"/>
          </w:tcPr>
          <w:p>
            <w:pPr>
              <w:spacing w:after="0"/>
            </w:pPr>
            <w:r/>
            <w:r>
              <w:rPr>
                <w:b w:val="0"/>
                <w:sz w:val="14"/>
              </w:rPr>
              <w:t>Collect contract, annexes, liquidations, cotizaciones, role description, documents.</w:t>
            </w:r>
          </w:p>
        </w:tc>
        <w:tc>
          <w:tcPr>
            <w:tcW w:type="dxa" w:w="2448"/>
            <w:vAlign w:val="center"/>
          </w:tcPr>
          <w:p>
            <w:pPr>
              <w:spacing w:after="0"/>
            </w:pPr>
            <w:r/>
            <w:r>
              <w:rPr>
                <w:b w:val="0"/>
                <w:sz w:val="14"/>
              </w:rPr>
              <w:t>Evidence manifest created.</w:t>
            </w:r>
          </w:p>
        </w:tc>
        <w:tc>
          <w:tcPr>
            <w:tcW w:type="dxa" w:w="1440"/>
            <w:vAlign w:val="center"/>
          </w:tcPr>
          <w:p>
            <w:pPr>
              <w:spacing w:after="0"/>
            </w:pPr>
            <w:r/>
            <w:r>
              <w:rPr>
                <w:b w:val="0"/>
                <w:sz w:val="14"/>
              </w:rPr>
              <w:t>Paralegal</w:t>
            </w:r>
          </w:p>
        </w:tc>
      </w:tr>
      <w:tr>
        <w:tc>
          <w:tcPr>
            <w:tcW w:type="dxa" w:w="504"/>
            <w:vAlign w:val="center"/>
          </w:tcPr>
          <w:p>
            <w:pPr>
              <w:spacing w:after="0"/>
            </w:pPr>
            <w:r/>
            <w:r>
              <w:rPr>
                <w:b w:val="0"/>
                <w:sz w:val="14"/>
              </w:rPr>
              <w:t>2</w:t>
            </w:r>
          </w:p>
        </w:tc>
        <w:tc>
          <w:tcPr>
            <w:tcW w:type="dxa" w:w="1728"/>
            <w:vAlign w:val="center"/>
          </w:tcPr>
          <w:p>
            <w:pPr>
              <w:spacing w:after="0"/>
            </w:pPr>
            <w:r/>
            <w:r>
              <w:rPr>
                <w:b w:val="0"/>
                <w:sz w:val="14"/>
              </w:rPr>
              <w:t>Legal classification</w:t>
            </w:r>
          </w:p>
        </w:tc>
        <w:tc>
          <w:tcPr>
            <w:tcW w:type="dxa" w:w="3888"/>
            <w:vAlign w:val="center"/>
          </w:tcPr>
          <w:p>
            <w:pPr>
              <w:spacing w:after="0"/>
            </w:pPr>
            <w:r/>
            <w:r>
              <w:rPr>
                <w:b w:val="0"/>
                <w:sz w:val="14"/>
              </w:rPr>
              <w:t>Classify regime/cause and identify blockers.</w:t>
            </w:r>
          </w:p>
        </w:tc>
        <w:tc>
          <w:tcPr>
            <w:tcW w:type="dxa" w:w="2448"/>
            <w:vAlign w:val="center"/>
          </w:tcPr>
          <w:p>
            <w:pPr>
              <w:spacing w:after="0"/>
            </w:pPr>
            <w:r/>
            <w:r>
              <w:rPr>
                <w:b w:val="0"/>
                <w:sz w:val="14"/>
              </w:rPr>
              <w:t>Cause route + risk modules.</w:t>
            </w:r>
          </w:p>
        </w:tc>
        <w:tc>
          <w:tcPr>
            <w:tcW w:type="dxa" w:w="1440"/>
            <w:vAlign w:val="center"/>
          </w:tcPr>
          <w:p>
            <w:pPr>
              <w:spacing w:after="0"/>
            </w:pPr>
            <w:r/>
            <w:r>
              <w:rPr>
                <w:b w:val="0"/>
                <w:sz w:val="14"/>
              </w:rPr>
              <w:t>Associate</w:t>
            </w:r>
          </w:p>
        </w:tc>
      </w:tr>
      <w:tr>
        <w:tc>
          <w:tcPr>
            <w:tcW w:type="dxa" w:w="504"/>
            <w:vAlign w:val="center"/>
          </w:tcPr>
          <w:p>
            <w:pPr>
              <w:spacing w:after="0"/>
            </w:pPr>
            <w:r/>
            <w:r>
              <w:rPr>
                <w:b w:val="0"/>
                <w:sz w:val="14"/>
              </w:rPr>
              <w:t>3</w:t>
            </w:r>
          </w:p>
        </w:tc>
        <w:tc>
          <w:tcPr>
            <w:tcW w:type="dxa" w:w="1728"/>
            <w:vAlign w:val="center"/>
          </w:tcPr>
          <w:p>
            <w:pPr>
              <w:spacing w:after="0"/>
            </w:pPr>
            <w:r/>
            <w:r>
              <w:rPr>
                <w:b w:val="0"/>
                <w:sz w:val="14"/>
              </w:rPr>
              <w:t>Carta proof check</w:t>
            </w:r>
          </w:p>
        </w:tc>
        <w:tc>
          <w:tcPr>
            <w:tcW w:type="dxa" w:w="3888"/>
            <w:vAlign w:val="center"/>
          </w:tcPr>
          <w:p>
            <w:pPr>
              <w:spacing w:after="0"/>
            </w:pPr>
            <w:r/>
            <w:r>
              <w:rPr>
                <w:b w:val="0"/>
                <w:sz w:val="14"/>
              </w:rPr>
              <w:t>Validate exact facts, dates, article, amounts, delivery, DT filing.</w:t>
            </w:r>
          </w:p>
        </w:tc>
        <w:tc>
          <w:tcPr>
            <w:tcW w:type="dxa" w:w="2448"/>
            <w:vAlign w:val="center"/>
          </w:tcPr>
          <w:p>
            <w:pPr>
              <w:spacing w:after="0"/>
            </w:pPr>
            <w:r/>
            <w:r>
              <w:rPr>
                <w:b w:val="0"/>
                <w:sz w:val="14"/>
              </w:rPr>
              <w:t>Letter sufficiency score.</w:t>
            </w:r>
          </w:p>
        </w:tc>
        <w:tc>
          <w:tcPr>
            <w:tcW w:type="dxa" w:w="1440"/>
            <w:vAlign w:val="center"/>
          </w:tcPr>
          <w:p>
            <w:pPr>
              <w:spacing w:after="0"/>
            </w:pPr>
            <w:r/>
            <w:r>
              <w:rPr>
                <w:b w:val="0"/>
                <w:sz w:val="14"/>
              </w:rPr>
              <w:t>Associate</w:t>
            </w:r>
          </w:p>
        </w:tc>
      </w:tr>
      <w:tr>
        <w:tc>
          <w:tcPr>
            <w:tcW w:type="dxa" w:w="504"/>
            <w:vAlign w:val="center"/>
          </w:tcPr>
          <w:p>
            <w:pPr>
              <w:spacing w:after="0"/>
            </w:pPr>
            <w:r/>
            <w:r>
              <w:rPr>
                <w:b w:val="0"/>
                <w:sz w:val="14"/>
              </w:rPr>
              <w:t>4</w:t>
            </w:r>
          </w:p>
        </w:tc>
        <w:tc>
          <w:tcPr>
            <w:tcW w:type="dxa" w:w="1728"/>
            <w:vAlign w:val="center"/>
          </w:tcPr>
          <w:p>
            <w:pPr>
              <w:spacing w:after="0"/>
            </w:pPr>
            <w:r/>
            <w:r>
              <w:rPr>
                <w:b w:val="0"/>
                <w:sz w:val="14"/>
              </w:rPr>
              <w:t>Evidence matrix</w:t>
            </w:r>
          </w:p>
        </w:tc>
        <w:tc>
          <w:tcPr>
            <w:tcW w:type="dxa" w:w="3888"/>
            <w:vAlign w:val="center"/>
          </w:tcPr>
          <w:p>
            <w:pPr>
              <w:spacing w:after="0"/>
            </w:pPr>
            <w:r/>
            <w:r>
              <w:rPr>
                <w:b w:val="0"/>
                <w:sz w:val="14"/>
              </w:rPr>
              <w:t>Map each required legal fact to evidence.</w:t>
            </w:r>
          </w:p>
        </w:tc>
        <w:tc>
          <w:tcPr>
            <w:tcW w:type="dxa" w:w="2448"/>
            <w:vAlign w:val="center"/>
          </w:tcPr>
          <w:p>
            <w:pPr>
              <w:spacing w:after="0"/>
            </w:pPr>
            <w:r/>
            <w:r>
              <w:rPr>
                <w:b w:val="0"/>
                <w:sz w:val="14"/>
              </w:rPr>
              <w:t>Proof gaps list.</w:t>
            </w:r>
          </w:p>
        </w:tc>
        <w:tc>
          <w:tcPr>
            <w:tcW w:type="dxa" w:w="1440"/>
            <w:vAlign w:val="center"/>
          </w:tcPr>
          <w:p>
            <w:pPr>
              <w:spacing w:after="0"/>
            </w:pPr>
            <w:r/>
            <w:r>
              <w:rPr>
                <w:b w:val="0"/>
                <w:sz w:val="14"/>
              </w:rPr>
              <w:t>Evidence engine</w:t>
            </w:r>
          </w:p>
        </w:tc>
      </w:tr>
      <w:tr>
        <w:tc>
          <w:tcPr>
            <w:tcW w:type="dxa" w:w="504"/>
            <w:vAlign w:val="center"/>
          </w:tcPr>
          <w:p>
            <w:pPr>
              <w:spacing w:after="0"/>
            </w:pPr>
            <w:r/>
            <w:r>
              <w:rPr>
                <w:b w:val="0"/>
                <w:sz w:val="14"/>
              </w:rPr>
              <w:t>5</w:t>
            </w:r>
          </w:p>
        </w:tc>
        <w:tc>
          <w:tcPr>
            <w:tcW w:type="dxa" w:w="1728"/>
            <w:vAlign w:val="center"/>
          </w:tcPr>
          <w:p>
            <w:pPr>
              <w:spacing w:after="0"/>
            </w:pPr>
            <w:r/>
            <w:r>
              <w:rPr>
                <w:b w:val="0"/>
                <w:sz w:val="14"/>
              </w:rPr>
              <w:t>Payroll/calculation</w:t>
            </w:r>
          </w:p>
        </w:tc>
        <w:tc>
          <w:tcPr>
            <w:tcW w:type="dxa" w:w="3888"/>
            <w:vAlign w:val="center"/>
          </w:tcPr>
          <w:p>
            <w:pPr>
              <w:spacing w:after="0"/>
            </w:pPr>
            <w:r/>
            <w:r>
              <w:rPr>
                <w:b w:val="0"/>
                <w:sz w:val="14"/>
              </w:rPr>
              <w:t>Run finiquito calculation and line-item trace.</w:t>
            </w:r>
          </w:p>
        </w:tc>
        <w:tc>
          <w:tcPr>
            <w:tcW w:type="dxa" w:w="2448"/>
            <w:vAlign w:val="center"/>
          </w:tcPr>
          <w:p>
            <w:pPr>
              <w:spacing w:after="0"/>
            </w:pPr>
            <w:r/>
            <w:r>
              <w:rPr>
                <w:b w:val="0"/>
                <w:sz w:val="14"/>
              </w:rPr>
              <w:t>Employer intended calculation.</w:t>
            </w:r>
          </w:p>
        </w:tc>
        <w:tc>
          <w:tcPr>
            <w:tcW w:type="dxa" w:w="1440"/>
            <w:vAlign w:val="center"/>
          </w:tcPr>
          <w:p>
            <w:pPr>
              <w:spacing w:after="0"/>
            </w:pPr>
            <w:r/>
            <w:r>
              <w:rPr>
                <w:b w:val="0"/>
                <w:sz w:val="14"/>
              </w:rPr>
              <w:t>System</w:t>
            </w:r>
          </w:p>
        </w:tc>
      </w:tr>
      <w:tr>
        <w:tc>
          <w:tcPr>
            <w:tcW w:type="dxa" w:w="504"/>
            <w:vAlign w:val="center"/>
          </w:tcPr>
          <w:p>
            <w:pPr>
              <w:spacing w:after="0"/>
            </w:pPr>
            <w:r/>
            <w:r>
              <w:rPr>
                <w:b w:val="0"/>
                <w:sz w:val="14"/>
              </w:rPr>
              <w:t>6</w:t>
            </w:r>
          </w:p>
        </w:tc>
        <w:tc>
          <w:tcPr>
            <w:tcW w:type="dxa" w:w="1728"/>
            <w:vAlign w:val="center"/>
          </w:tcPr>
          <w:p>
            <w:pPr>
              <w:spacing w:after="0"/>
            </w:pPr>
            <w:r/>
            <w:r>
              <w:rPr>
                <w:b w:val="0"/>
                <w:sz w:val="14"/>
              </w:rPr>
              <w:t>Litigation scenarios</w:t>
            </w:r>
          </w:p>
        </w:tc>
        <w:tc>
          <w:tcPr>
            <w:tcW w:type="dxa" w:w="3888"/>
            <w:vAlign w:val="center"/>
          </w:tcPr>
          <w:p>
            <w:pPr>
              <w:spacing w:after="0"/>
            </w:pPr>
            <w:r/>
            <w:r>
              <w:rPr>
                <w:b w:val="0"/>
                <w:sz w:val="14"/>
              </w:rPr>
              <w:t>Generate employee challenge and worst credible judicial case.</w:t>
            </w:r>
          </w:p>
        </w:tc>
        <w:tc>
          <w:tcPr>
            <w:tcW w:type="dxa" w:w="2448"/>
            <w:vAlign w:val="center"/>
          </w:tcPr>
          <w:p>
            <w:pPr>
              <w:spacing w:after="0"/>
            </w:pPr>
            <w:r/>
            <w:r>
              <w:rPr>
                <w:b w:val="0"/>
                <w:sz w:val="14"/>
              </w:rPr>
              <w:t>Scenario comparison.</w:t>
            </w:r>
          </w:p>
        </w:tc>
        <w:tc>
          <w:tcPr>
            <w:tcW w:type="dxa" w:w="1440"/>
            <w:vAlign w:val="center"/>
          </w:tcPr>
          <w:p>
            <w:pPr>
              <w:spacing w:after="0"/>
            </w:pPr>
            <w:r/>
            <w:r>
              <w:rPr>
                <w:b w:val="0"/>
                <w:sz w:val="14"/>
              </w:rPr>
              <w:t>Scenario engine</w:t>
            </w:r>
          </w:p>
        </w:tc>
      </w:tr>
      <w:tr>
        <w:tc>
          <w:tcPr>
            <w:tcW w:type="dxa" w:w="504"/>
            <w:vAlign w:val="center"/>
          </w:tcPr>
          <w:p>
            <w:pPr>
              <w:spacing w:after="0"/>
            </w:pPr>
            <w:r/>
            <w:r>
              <w:rPr>
                <w:b w:val="0"/>
                <w:sz w:val="14"/>
              </w:rPr>
              <w:t>7</w:t>
            </w:r>
          </w:p>
        </w:tc>
        <w:tc>
          <w:tcPr>
            <w:tcW w:type="dxa" w:w="1728"/>
            <w:vAlign w:val="center"/>
          </w:tcPr>
          <w:p>
            <w:pPr>
              <w:spacing w:after="0"/>
            </w:pPr>
            <w:r/>
            <w:r>
              <w:rPr>
                <w:b w:val="0"/>
                <w:sz w:val="14"/>
              </w:rPr>
              <w:t>Tax/previsional review</w:t>
            </w:r>
          </w:p>
        </w:tc>
        <w:tc>
          <w:tcPr>
            <w:tcW w:type="dxa" w:w="3888"/>
            <w:vAlign w:val="center"/>
          </w:tcPr>
          <w:p>
            <w:pPr>
              <w:spacing w:after="0"/>
            </w:pPr>
            <w:r/>
            <w:r>
              <w:rPr>
                <w:b w:val="0"/>
                <w:sz w:val="14"/>
              </w:rPr>
              <w:t>Validate taxable items, cotizaciones, IUSC, AFC offset, reembolsos, bonos.</w:t>
            </w:r>
          </w:p>
        </w:tc>
        <w:tc>
          <w:tcPr>
            <w:tcW w:type="dxa" w:w="2448"/>
            <w:vAlign w:val="center"/>
          </w:tcPr>
          <w:p>
            <w:pPr>
              <w:spacing w:after="0"/>
            </w:pPr>
            <w:r/>
            <w:r>
              <w:rPr>
                <w:b w:val="0"/>
                <w:sz w:val="14"/>
              </w:rPr>
              <w:t>Tax approval / blockers.</w:t>
            </w:r>
          </w:p>
        </w:tc>
        <w:tc>
          <w:tcPr>
            <w:tcW w:type="dxa" w:w="1440"/>
            <w:vAlign w:val="center"/>
          </w:tcPr>
          <w:p>
            <w:pPr>
              <w:spacing w:after="0"/>
            </w:pPr>
            <w:r/>
            <w:r>
              <w:rPr>
                <w:b w:val="0"/>
                <w:sz w:val="14"/>
              </w:rPr>
              <w:t>Tax advisor</w:t>
            </w:r>
          </w:p>
        </w:tc>
      </w:tr>
      <w:tr>
        <w:tc>
          <w:tcPr>
            <w:tcW w:type="dxa" w:w="504"/>
            <w:vAlign w:val="center"/>
          </w:tcPr>
          <w:p>
            <w:pPr>
              <w:spacing w:after="0"/>
            </w:pPr>
            <w:r/>
            <w:r>
              <w:rPr>
                <w:b w:val="0"/>
                <w:sz w:val="14"/>
              </w:rPr>
              <w:t>8</w:t>
            </w:r>
          </w:p>
        </w:tc>
        <w:tc>
          <w:tcPr>
            <w:tcW w:type="dxa" w:w="1728"/>
            <w:vAlign w:val="center"/>
          </w:tcPr>
          <w:p>
            <w:pPr>
              <w:spacing w:after="0"/>
            </w:pPr>
            <w:r/>
            <w:r>
              <w:rPr>
                <w:b w:val="0"/>
                <w:sz w:val="14"/>
              </w:rPr>
              <w:t>Finiquito execution readiness</w:t>
            </w:r>
          </w:p>
        </w:tc>
        <w:tc>
          <w:tcPr>
            <w:tcW w:type="dxa" w:w="3888"/>
            <w:vAlign w:val="center"/>
          </w:tcPr>
          <w:p>
            <w:pPr>
              <w:spacing w:after="0"/>
            </w:pPr>
            <w:r/>
            <w:r>
              <w:rPr>
                <w:b w:val="0"/>
                <w:sz w:val="14"/>
              </w:rPr>
              <w:t>Validate payment, ratification, reservation, disputed items.</w:t>
            </w:r>
          </w:p>
        </w:tc>
        <w:tc>
          <w:tcPr>
            <w:tcW w:type="dxa" w:w="2448"/>
            <w:vAlign w:val="center"/>
          </w:tcPr>
          <w:p>
            <w:pPr>
              <w:spacing w:after="0"/>
            </w:pPr>
            <w:r/>
            <w:r>
              <w:rPr>
                <w:b w:val="0"/>
                <w:sz w:val="14"/>
              </w:rPr>
              <w:t>Execution readiness.</w:t>
            </w:r>
          </w:p>
        </w:tc>
        <w:tc>
          <w:tcPr>
            <w:tcW w:type="dxa" w:w="1440"/>
            <w:vAlign w:val="center"/>
          </w:tcPr>
          <w:p>
            <w:pPr>
              <w:spacing w:after="0"/>
            </w:pPr>
            <w:r/>
            <w:r>
              <w:rPr>
                <w:b w:val="0"/>
                <w:sz w:val="14"/>
              </w:rPr>
              <w:t>Associate</w:t>
            </w:r>
          </w:p>
        </w:tc>
      </w:tr>
      <w:tr>
        <w:tc>
          <w:tcPr>
            <w:tcW w:type="dxa" w:w="504"/>
            <w:vAlign w:val="center"/>
          </w:tcPr>
          <w:p>
            <w:pPr>
              <w:spacing w:after="0"/>
            </w:pPr>
            <w:r/>
            <w:r>
              <w:rPr>
                <w:b w:val="0"/>
                <w:sz w:val="14"/>
              </w:rPr>
              <w:t>9</w:t>
            </w:r>
          </w:p>
        </w:tc>
        <w:tc>
          <w:tcPr>
            <w:tcW w:type="dxa" w:w="1728"/>
            <w:vAlign w:val="center"/>
          </w:tcPr>
          <w:p>
            <w:pPr>
              <w:spacing w:after="0"/>
            </w:pPr>
            <w:r/>
            <w:r>
              <w:rPr>
                <w:b w:val="0"/>
                <w:sz w:val="14"/>
              </w:rPr>
              <w:t>Partner review</w:t>
            </w:r>
          </w:p>
        </w:tc>
        <w:tc>
          <w:tcPr>
            <w:tcW w:type="dxa" w:w="3888"/>
            <w:vAlign w:val="center"/>
          </w:tcPr>
          <w:p>
            <w:pPr>
              <w:spacing w:after="0"/>
            </w:pPr>
            <w:r/>
            <w:r>
              <w:rPr>
                <w:b w:val="0"/>
                <w:sz w:val="14"/>
              </w:rPr>
              <w:t>Approve or block based on proof sufficiency and risk.</w:t>
            </w:r>
          </w:p>
        </w:tc>
        <w:tc>
          <w:tcPr>
            <w:tcW w:type="dxa" w:w="2448"/>
            <w:vAlign w:val="center"/>
          </w:tcPr>
          <w:p>
            <w:pPr>
              <w:spacing w:after="0"/>
            </w:pPr>
            <w:r/>
            <w:r>
              <w:rPr>
                <w:b w:val="0"/>
                <w:sz w:val="14"/>
              </w:rPr>
              <w:t>Final approval.</w:t>
            </w:r>
          </w:p>
        </w:tc>
        <w:tc>
          <w:tcPr>
            <w:tcW w:type="dxa" w:w="1440"/>
            <w:vAlign w:val="center"/>
          </w:tcPr>
          <w:p>
            <w:pPr>
              <w:spacing w:after="0"/>
            </w:pPr>
            <w:r/>
            <w:r>
              <w:rPr>
                <w:b w:val="0"/>
                <w:sz w:val="14"/>
              </w:rPr>
              <w:t>Partner</w:t>
            </w:r>
          </w:p>
        </w:tc>
      </w:tr>
      <w:tr>
        <w:tc>
          <w:tcPr>
            <w:tcW w:type="dxa" w:w="504"/>
            <w:vAlign w:val="center"/>
          </w:tcPr>
          <w:p>
            <w:pPr>
              <w:spacing w:after="0"/>
            </w:pPr>
            <w:r/>
            <w:r>
              <w:rPr>
                <w:b w:val="0"/>
                <w:sz w:val="14"/>
              </w:rPr>
              <w:t>10</w:t>
            </w:r>
          </w:p>
        </w:tc>
        <w:tc>
          <w:tcPr>
            <w:tcW w:type="dxa" w:w="1728"/>
            <w:vAlign w:val="center"/>
          </w:tcPr>
          <w:p>
            <w:pPr>
              <w:spacing w:after="0"/>
            </w:pPr>
            <w:r/>
            <w:r>
              <w:rPr>
                <w:b w:val="0"/>
                <w:sz w:val="14"/>
              </w:rPr>
              <w:t>Tribunal export</w:t>
            </w:r>
          </w:p>
        </w:tc>
        <w:tc>
          <w:tcPr>
            <w:tcW w:type="dxa" w:w="3888"/>
            <w:vAlign w:val="center"/>
          </w:tcPr>
          <w:p>
            <w:pPr>
              <w:spacing w:after="0"/>
            </w:pPr>
            <w:r/>
            <w:r>
              <w:rPr>
                <w:b w:val="0"/>
                <w:sz w:val="14"/>
              </w:rPr>
              <w:t>Generate client report + internal litigation case file.</w:t>
            </w:r>
          </w:p>
        </w:tc>
        <w:tc>
          <w:tcPr>
            <w:tcW w:type="dxa" w:w="2448"/>
            <w:vAlign w:val="center"/>
          </w:tcPr>
          <w:p>
            <w:pPr>
              <w:spacing w:after="0"/>
            </w:pPr>
            <w:r/>
            <w:r>
              <w:rPr>
                <w:b w:val="0"/>
                <w:sz w:val="14"/>
              </w:rPr>
              <w:t>Report + evidence bundle.</w:t>
            </w:r>
          </w:p>
        </w:tc>
        <w:tc>
          <w:tcPr>
            <w:tcW w:type="dxa" w:w="1440"/>
            <w:vAlign w:val="center"/>
          </w:tcPr>
          <w:p>
            <w:pPr>
              <w:spacing w:after="0"/>
            </w:pPr>
            <w:r/>
            <w:r>
              <w:rPr>
                <w:b w:val="0"/>
                <w:sz w:val="14"/>
              </w:rPr>
              <w:t>System</w:t>
            </w:r>
          </w:p>
        </w:tc>
      </w:tr>
    </w:tbl>
    <w:p/>
    <w:p>
      <w:pPr>
        <w:pStyle w:val="Heading1"/>
      </w:pPr>
      <w:r>
        <w:t>6. State machine changes</w:t>
      </w:r>
    </w:p>
    <w:p>
      <w:r>
        <w:t>Add these states to the existing workflow:</w:t>
      </w:r>
    </w:p>
    <w:p>
      <w:pPr>
        <w:pStyle w:val="ListBullet"/>
        <w:spacing w:after="40"/>
      </w:pPr>
      <w:r>
        <w:t>EVIDENCE_INTAKE_PENDING</w:t>
      </w:r>
    </w:p>
    <w:p>
      <w:pPr>
        <w:pStyle w:val="ListBullet"/>
        <w:spacing w:after="40"/>
      </w:pPr>
      <w:r>
        <w:t>EVIDENCE_INTAKE_COMPLETE</w:t>
      </w:r>
    </w:p>
    <w:p>
      <w:pPr>
        <w:pStyle w:val="ListBullet"/>
        <w:spacing w:after="40"/>
      </w:pPr>
      <w:r>
        <w:t>DISMISSAL_LETTER_REVIEW_PENDING</w:t>
      </w:r>
    </w:p>
    <w:p>
      <w:pPr>
        <w:pStyle w:val="ListBullet"/>
        <w:spacing w:after="40"/>
      </w:pPr>
      <w:r>
        <w:t>DISMISSAL_LETTER_APPROVED</w:t>
      </w:r>
    </w:p>
    <w:p>
      <w:pPr>
        <w:pStyle w:val="ListBullet"/>
        <w:spacing w:after="40"/>
      </w:pPr>
      <w:r>
        <w:t>PROOF_GAPS_BLOCKED</w:t>
      </w:r>
    </w:p>
    <w:p>
      <w:pPr>
        <w:pStyle w:val="ListBullet"/>
        <w:spacing w:after="40"/>
      </w:pPr>
      <w:r>
        <w:t>FINIQUITO_EXECUTION_REVIEW_PENDING</w:t>
      </w:r>
    </w:p>
    <w:p>
      <w:pPr>
        <w:pStyle w:val="ListBullet"/>
        <w:spacing w:after="40"/>
      </w:pPr>
      <w:r>
        <w:t>TRIBUNAL_EXPORT_READY</w:t>
      </w:r>
    </w:p>
    <w:p>
      <w:r>
        <w:t>New critical transitions:</w:t>
      </w:r>
    </w:p>
    <w:p>
      <w:pPr>
        <w:pStyle w:val="ListBullet"/>
        <w:spacing w:after="40"/>
      </w:pPr>
      <w:r>
        <w:t>LEGAL_CLASSIFIED → DISMISSAL_LETTER_REVIEW_PENDING when cause requires letter proof.</w:t>
      </w:r>
    </w:p>
    <w:p>
      <w:pPr>
        <w:pStyle w:val="ListBullet"/>
        <w:spacing w:after="40"/>
      </w:pPr>
      <w:r>
        <w:t>DISMISSAL_LETTER_REVIEW_PENDING → PROOF_GAPS_BLOCKED if facts are generic or evidence missing.</w:t>
      </w:r>
    </w:p>
    <w:p>
      <w:pPr>
        <w:pStyle w:val="ListBullet"/>
        <w:spacing w:after="40"/>
      </w:pPr>
      <w:r>
        <w:t>PAYROLL_COMPLETE → EVIDENCE_INTAKE_COMPLETE only if required documents uploaded.</w:t>
      </w:r>
    </w:p>
    <w:p>
      <w:pPr>
        <w:pStyle w:val="ListBullet"/>
        <w:spacing w:after="40"/>
      </w:pPr>
      <w:r>
        <w:t>TAX_REVIEWED → FINIQUITO_EXECUTION_REVIEW_PENDING before client report is final.</w:t>
      </w:r>
    </w:p>
    <w:p>
      <w:pPr>
        <w:pStyle w:val="ListBullet"/>
        <w:spacing w:after="40"/>
      </w:pPr>
      <w:r>
        <w:t>PARTNER_REVIEW_PENDING → TRIBUNAL_EXPORT_READY only if proof score meets threshold.</w:t>
      </w:r>
    </w:p>
    <w:p>
      <w:pPr>
        <w:pStyle w:val="Heading1"/>
      </w:pPr>
      <w:r>
        <w:t>7. Evidence requirements by causal</w:t>
      </w:r>
    </w:p>
    <w:tbl>
      <w:tblPr>
        <w:tblStyle w:val="TableGrid"/>
        <w:tblW w:type="auto" w:w="0"/>
        <w:jc w:val="center"/>
        <w:tblLook w:firstColumn="1" w:firstRow="1" w:lastColumn="0" w:lastRow="0" w:noHBand="0" w:noVBand="1" w:val="04A0"/>
      </w:tblPr>
      <w:tblGrid>
        <w:gridCol w:w="2088"/>
        <w:gridCol w:w="6120"/>
        <w:gridCol w:w="1944"/>
      </w:tblGrid>
      <w:tr>
        <w:tc>
          <w:tcPr>
            <w:tcW w:type="dxa" w:w="3408"/>
            <w:vAlign w:val="center"/>
            <w:shd w:fill="EAF2F8"/>
          </w:tcPr>
          <w:p>
            <w:pPr>
              <w:spacing w:after="0"/>
            </w:pPr>
            <w:r/>
            <w:r>
              <w:rPr>
                <w:b/>
                <w:sz w:val="16"/>
              </w:rPr>
              <w:t>Causal / module</w:t>
            </w:r>
          </w:p>
        </w:tc>
        <w:tc>
          <w:tcPr>
            <w:tcW w:type="dxa" w:w="3408"/>
            <w:vAlign w:val="center"/>
            <w:shd w:fill="EAF2F8"/>
          </w:tcPr>
          <w:p>
            <w:pPr>
              <w:spacing w:after="0"/>
            </w:pPr>
            <w:r/>
            <w:r>
              <w:rPr>
                <w:b/>
                <w:sz w:val="16"/>
              </w:rPr>
              <w:t>Minimum evidence</w:t>
            </w:r>
          </w:p>
        </w:tc>
        <w:tc>
          <w:tcPr>
            <w:tcW w:type="dxa" w:w="3408"/>
            <w:vAlign w:val="center"/>
            <w:shd w:fill="EAF2F8"/>
          </w:tcPr>
          <w:p>
            <w:pPr>
              <w:spacing w:after="0"/>
            </w:pPr>
            <w:r/>
            <w:r>
              <w:rPr>
                <w:b/>
                <w:sz w:val="16"/>
              </w:rPr>
              <w:t>Block if missing?</w:t>
            </w:r>
          </w:p>
        </w:tc>
      </w:tr>
      <w:tr>
        <w:tc>
          <w:tcPr>
            <w:tcW w:type="dxa" w:w="2088"/>
            <w:vAlign w:val="center"/>
          </w:tcPr>
          <w:p>
            <w:pPr>
              <w:spacing w:after="0"/>
            </w:pPr>
            <w:r/>
            <w:r>
              <w:rPr>
                <w:b w:val="0"/>
                <w:sz w:val="14"/>
              </w:rPr>
              <w:t>Art. 161 necesidades empresa</w:t>
            </w:r>
          </w:p>
        </w:tc>
        <w:tc>
          <w:tcPr>
            <w:tcW w:type="dxa" w:w="6120"/>
            <w:vAlign w:val="center"/>
          </w:tcPr>
          <w:p>
            <w:pPr>
              <w:spacing w:after="0"/>
            </w:pPr>
            <w:r/>
            <w:r>
              <w:rPr>
                <w:b w:val="0"/>
                <w:sz w:val="14"/>
              </w:rPr>
              <w:t>Specific carta facts; business reason; org chart before/after; financial/technical report; role elimination; selection criteria; no replacement evidence; DT filing.</w:t>
            </w:r>
          </w:p>
        </w:tc>
        <w:tc>
          <w:tcPr>
            <w:tcW w:type="dxa" w:w="1944"/>
            <w:vAlign w:val="center"/>
          </w:tcPr>
          <w:p>
            <w:pPr>
              <w:spacing w:after="0"/>
            </w:pPr>
            <w:r/>
            <w:r>
              <w:rPr>
                <w:b w:val="0"/>
                <w:sz w:val="14"/>
              </w:rPr>
              <w:t>Yes for carta facts + delivery + core business proof.</w:t>
            </w:r>
          </w:p>
        </w:tc>
      </w:tr>
      <w:tr>
        <w:tc>
          <w:tcPr>
            <w:tcW w:type="dxa" w:w="2088"/>
            <w:vAlign w:val="center"/>
          </w:tcPr>
          <w:p>
            <w:pPr>
              <w:spacing w:after="0"/>
            </w:pPr>
            <w:r/>
            <w:r>
              <w:rPr>
                <w:b w:val="0"/>
                <w:sz w:val="14"/>
              </w:rPr>
              <w:t>Art. 160 disciplinary</w:t>
            </w:r>
          </w:p>
        </w:tc>
        <w:tc>
          <w:tcPr>
            <w:tcW w:type="dxa" w:w="6120"/>
            <w:vAlign w:val="center"/>
          </w:tcPr>
          <w:p>
            <w:pPr>
              <w:spacing w:after="0"/>
            </w:pPr>
            <w:r/>
            <w:r>
              <w:rPr>
                <w:b w:val="0"/>
                <w:sz w:val="14"/>
              </w:rPr>
              <w:t>Incident record; witness statements; emails; investigation; proportionality; timing; prior warnings if relevant.</w:t>
            </w:r>
          </w:p>
        </w:tc>
        <w:tc>
          <w:tcPr>
            <w:tcW w:type="dxa" w:w="1944"/>
            <w:vAlign w:val="center"/>
          </w:tcPr>
          <w:p>
            <w:pPr>
              <w:spacing w:after="0"/>
            </w:pPr>
            <w:r/>
            <w:r>
              <w:rPr>
                <w:b w:val="0"/>
                <w:sz w:val="14"/>
              </w:rPr>
              <w:t>Yes for specific facts + evidence.</w:t>
            </w:r>
          </w:p>
        </w:tc>
      </w:tr>
      <w:tr>
        <w:tc>
          <w:tcPr>
            <w:tcW w:type="dxa" w:w="2088"/>
            <w:vAlign w:val="center"/>
          </w:tcPr>
          <w:p>
            <w:pPr>
              <w:spacing w:after="0"/>
            </w:pPr>
            <w:r/>
            <w:r>
              <w:rPr>
                <w:b w:val="0"/>
                <w:sz w:val="14"/>
              </w:rPr>
              <w:t>Renuncia</w:t>
            </w:r>
          </w:p>
        </w:tc>
        <w:tc>
          <w:tcPr>
            <w:tcW w:type="dxa" w:w="6120"/>
            <w:vAlign w:val="center"/>
          </w:tcPr>
          <w:p>
            <w:pPr>
              <w:spacing w:after="0"/>
            </w:pPr>
            <w:r/>
            <w:r>
              <w:rPr>
                <w:b w:val="0"/>
                <w:sz w:val="14"/>
              </w:rPr>
              <w:t>Signed/ratified resignation; voluntariness evidence; no pressure indicators; payment not conditioned.</w:t>
            </w:r>
          </w:p>
        </w:tc>
        <w:tc>
          <w:tcPr>
            <w:tcW w:type="dxa" w:w="1944"/>
            <w:vAlign w:val="center"/>
          </w:tcPr>
          <w:p>
            <w:pPr>
              <w:spacing w:after="0"/>
            </w:pPr>
            <w:r/>
            <w:r>
              <w:rPr>
                <w:b w:val="0"/>
                <w:sz w:val="14"/>
              </w:rPr>
              <w:t>Yes if coercion risk high.</w:t>
            </w:r>
          </w:p>
        </w:tc>
      </w:tr>
      <w:tr>
        <w:tc>
          <w:tcPr>
            <w:tcW w:type="dxa" w:w="2088"/>
            <w:vAlign w:val="center"/>
          </w:tcPr>
          <w:p>
            <w:pPr>
              <w:spacing w:after="0"/>
            </w:pPr>
            <w:r/>
            <w:r>
              <w:rPr>
                <w:b w:val="0"/>
                <w:sz w:val="14"/>
              </w:rPr>
              <w:t>Plazo fijo</w:t>
            </w:r>
          </w:p>
        </w:tc>
        <w:tc>
          <w:tcPr>
            <w:tcW w:type="dxa" w:w="6120"/>
            <w:vAlign w:val="center"/>
          </w:tcPr>
          <w:p>
            <w:pPr>
              <w:spacing w:after="0"/>
            </w:pPr>
            <w:r/>
            <w:r>
              <w:rPr>
                <w:b w:val="0"/>
                <w:sz w:val="14"/>
              </w:rPr>
              <w:t>Contract; renewal history; no indefinite conversion indicators.</w:t>
            </w:r>
          </w:p>
        </w:tc>
        <w:tc>
          <w:tcPr>
            <w:tcW w:type="dxa" w:w="1944"/>
            <w:vAlign w:val="center"/>
          </w:tcPr>
          <w:p>
            <w:pPr>
              <w:spacing w:after="0"/>
            </w:pPr>
            <w:r/>
            <w:r>
              <w:rPr>
                <w:b w:val="0"/>
                <w:sz w:val="14"/>
              </w:rPr>
              <w:t>Warning/block depending renewals.</w:t>
            </w:r>
          </w:p>
        </w:tc>
      </w:tr>
      <w:tr>
        <w:tc>
          <w:tcPr>
            <w:tcW w:type="dxa" w:w="2088"/>
            <w:vAlign w:val="center"/>
          </w:tcPr>
          <w:p>
            <w:pPr>
              <w:spacing w:after="0"/>
            </w:pPr>
            <w:r/>
            <w:r>
              <w:rPr>
                <w:b w:val="0"/>
                <w:sz w:val="14"/>
              </w:rPr>
              <w:t>Obra/faena</w:t>
            </w:r>
          </w:p>
        </w:tc>
        <w:tc>
          <w:tcPr>
            <w:tcW w:type="dxa" w:w="6120"/>
            <w:vAlign w:val="center"/>
          </w:tcPr>
          <w:p>
            <w:pPr>
              <w:spacing w:after="0"/>
            </w:pPr>
            <w:r/>
            <w:r>
              <w:rPr>
                <w:b w:val="0"/>
                <w:sz w:val="14"/>
              </w:rPr>
              <w:t>Specific work/service definition; completion evidence; site/client acceptance; months/fracción calculation.</w:t>
            </w:r>
          </w:p>
        </w:tc>
        <w:tc>
          <w:tcPr>
            <w:tcW w:type="dxa" w:w="1944"/>
            <w:vAlign w:val="center"/>
          </w:tcPr>
          <w:p>
            <w:pPr>
              <w:spacing w:after="0"/>
            </w:pPr>
            <w:r/>
            <w:r>
              <w:rPr>
                <w:b w:val="0"/>
                <w:sz w:val="14"/>
              </w:rPr>
              <w:t>Yes for work completion evidence.</w:t>
            </w:r>
          </w:p>
        </w:tc>
      </w:tr>
      <w:tr>
        <w:tc>
          <w:tcPr>
            <w:tcW w:type="dxa" w:w="2088"/>
            <w:vAlign w:val="center"/>
          </w:tcPr>
          <w:p>
            <w:pPr>
              <w:spacing w:after="0"/>
            </w:pPr>
            <w:r/>
            <w:r>
              <w:rPr>
                <w:b w:val="0"/>
                <w:sz w:val="14"/>
              </w:rPr>
              <w:t>Finiquito</w:t>
            </w:r>
          </w:p>
        </w:tc>
        <w:tc>
          <w:tcPr>
            <w:tcW w:type="dxa" w:w="6120"/>
            <w:vAlign w:val="center"/>
          </w:tcPr>
          <w:p>
            <w:pPr>
              <w:spacing w:after="0"/>
            </w:pPr>
            <w:r/>
            <w:r>
              <w:rPr>
                <w:b w:val="0"/>
                <w:sz w:val="14"/>
              </w:rPr>
              <w:t>Draft; payment proof; availability within 10 business days; ratification; reservation text; disputed items.</w:t>
            </w:r>
          </w:p>
        </w:tc>
        <w:tc>
          <w:tcPr>
            <w:tcW w:type="dxa" w:w="1944"/>
            <w:vAlign w:val="center"/>
          </w:tcPr>
          <w:p>
            <w:pPr>
              <w:spacing w:after="0"/>
            </w:pPr>
            <w:r/>
            <w:r>
              <w:rPr>
                <w:b w:val="0"/>
                <w:sz w:val="14"/>
              </w:rPr>
              <w:t>Block final close if no execution proof.</w:t>
            </w:r>
          </w:p>
        </w:tc>
      </w:tr>
      <w:tr>
        <w:tc>
          <w:tcPr>
            <w:tcW w:type="dxa" w:w="2088"/>
            <w:vAlign w:val="center"/>
          </w:tcPr>
          <w:p>
            <w:pPr>
              <w:spacing w:after="0"/>
            </w:pPr>
            <w:r/>
            <w:r>
              <w:rPr>
                <w:b w:val="0"/>
                <w:sz w:val="14"/>
              </w:rPr>
              <w:t>Cotizaciones</w:t>
            </w:r>
          </w:p>
        </w:tc>
        <w:tc>
          <w:tcPr>
            <w:tcW w:type="dxa" w:w="6120"/>
            <w:vAlign w:val="center"/>
          </w:tcPr>
          <w:p>
            <w:pPr>
              <w:spacing w:after="0"/>
            </w:pPr>
            <w:r/>
            <w:r>
              <w:rPr>
                <w:b w:val="0"/>
                <w:sz w:val="14"/>
              </w:rPr>
              <w:t>AFP/IPS, health, AFC certificates/Previred; unpaid month detail; convalidation proof.</w:t>
            </w:r>
          </w:p>
        </w:tc>
        <w:tc>
          <w:tcPr>
            <w:tcW w:type="dxa" w:w="1944"/>
            <w:vAlign w:val="center"/>
          </w:tcPr>
          <w:p>
            <w:pPr>
              <w:spacing w:after="0"/>
            </w:pPr>
            <w:r/>
            <w:r>
              <w:rPr>
                <w:b w:val="0"/>
                <w:sz w:val="14"/>
              </w:rPr>
              <w:t>Yes.</w:t>
            </w:r>
          </w:p>
        </w:tc>
      </w:tr>
      <w:tr>
        <w:tc>
          <w:tcPr>
            <w:tcW w:type="dxa" w:w="2088"/>
            <w:vAlign w:val="center"/>
          </w:tcPr>
          <w:p>
            <w:pPr>
              <w:spacing w:after="0"/>
            </w:pPr>
            <w:r/>
            <w:r>
              <w:rPr>
                <w:b w:val="0"/>
                <w:sz w:val="14"/>
              </w:rPr>
              <w:t>Reimbursements</w:t>
            </w:r>
          </w:p>
        </w:tc>
        <w:tc>
          <w:tcPr>
            <w:tcW w:type="dxa" w:w="6120"/>
            <w:vAlign w:val="center"/>
          </w:tcPr>
          <w:p>
            <w:pPr>
              <w:spacing w:after="0"/>
            </w:pPr>
            <w:r/>
            <w:r>
              <w:rPr>
                <w:b w:val="0"/>
                <w:sz w:val="14"/>
              </w:rPr>
              <w:t>Receipts; approval; business purpose; policy compliance.</w:t>
            </w:r>
          </w:p>
        </w:tc>
        <w:tc>
          <w:tcPr>
            <w:tcW w:type="dxa" w:w="1944"/>
            <w:vAlign w:val="center"/>
          </w:tcPr>
          <w:p>
            <w:pPr>
              <w:spacing w:after="0"/>
            </w:pPr>
            <w:r/>
            <w:r>
              <w:rPr>
                <w:b w:val="0"/>
                <w:sz w:val="14"/>
              </w:rPr>
              <w:t>Warning/block if material.</w:t>
            </w:r>
          </w:p>
        </w:tc>
      </w:tr>
      <w:tr>
        <w:tc>
          <w:tcPr>
            <w:tcW w:type="dxa" w:w="2088"/>
            <w:vAlign w:val="center"/>
          </w:tcPr>
          <w:p>
            <w:pPr>
              <w:spacing w:after="0"/>
            </w:pPr>
            <w:r/>
            <w:r>
              <w:rPr>
                <w:b w:val="0"/>
                <w:sz w:val="14"/>
              </w:rPr>
              <w:t>Bonos</w:t>
            </w:r>
          </w:p>
        </w:tc>
        <w:tc>
          <w:tcPr>
            <w:tcW w:type="dxa" w:w="6120"/>
            <w:vAlign w:val="center"/>
          </w:tcPr>
          <w:p>
            <w:pPr>
              <w:spacing w:after="0"/>
            </w:pPr>
            <w:r/>
            <w:r>
              <w:rPr>
                <w:b w:val="0"/>
                <w:sz w:val="14"/>
              </w:rPr>
              <w:t>Contract/policy; KPI; devengo; proportionality; practice history.</w:t>
            </w:r>
          </w:p>
        </w:tc>
        <w:tc>
          <w:tcPr>
            <w:tcW w:type="dxa" w:w="1944"/>
            <w:vAlign w:val="center"/>
          </w:tcPr>
          <w:p>
            <w:pPr>
              <w:spacing w:after="0"/>
            </w:pPr>
            <w:r/>
            <w:r>
              <w:rPr>
                <w:b w:val="0"/>
                <w:sz w:val="14"/>
              </w:rPr>
              <w:t>Warning/block if material.</w:t>
            </w:r>
          </w:p>
        </w:tc>
      </w:tr>
      <w:tr>
        <w:tc>
          <w:tcPr>
            <w:tcW w:type="dxa" w:w="2088"/>
            <w:vAlign w:val="center"/>
          </w:tcPr>
          <w:p>
            <w:pPr>
              <w:spacing w:after="0"/>
            </w:pPr>
            <w:r/>
            <w:r>
              <w:rPr>
                <w:b w:val="0"/>
                <w:sz w:val="14"/>
              </w:rPr>
              <w:t>AFC offset</w:t>
            </w:r>
          </w:p>
        </w:tc>
        <w:tc>
          <w:tcPr>
            <w:tcW w:type="dxa" w:w="6120"/>
            <w:vAlign w:val="center"/>
          </w:tcPr>
          <w:p>
            <w:pPr>
              <w:spacing w:after="0"/>
            </w:pPr>
            <w:r/>
            <w:r>
              <w:rPr>
                <w:b w:val="0"/>
                <w:sz w:val="14"/>
              </w:rPr>
              <w:t>Legal basis; causal valid; partner approval; risk disclosure.</w:t>
            </w:r>
          </w:p>
        </w:tc>
        <w:tc>
          <w:tcPr>
            <w:tcW w:type="dxa" w:w="1944"/>
            <w:vAlign w:val="center"/>
          </w:tcPr>
          <w:p>
            <w:pPr>
              <w:spacing w:after="0"/>
            </w:pPr>
            <w:r/>
            <w:r>
              <w:rPr>
                <w:b w:val="0"/>
                <w:sz w:val="14"/>
              </w:rPr>
              <w:t>Yes by default.</w:t>
            </w:r>
          </w:p>
        </w:tc>
      </w:tr>
      <w:tr>
        <w:tc>
          <w:tcPr>
            <w:tcW w:type="dxa" w:w="2088"/>
            <w:vAlign w:val="center"/>
          </w:tcPr>
          <w:p>
            <w:pPr>
              <w:spacing w:after="0"/>
            </w:pPr>
            <w:r/>
            <w:r>
              <w:rPr>
                <w:b w:val="0"/>
                <w:sz w:val="14"/>
              </w:rPr>
              <w:t>Honorarios</w:t>
            </w:r>
          </w:p>
        </w:tc>
        <w:tc>
          <w:tcPr>
            <w:tcW w:type="dxa" w:w="6120"/>
            <w:vAlign w:val="center"/>
          </w:tcPr>
          <w:p>
            <w:pPr>
              <w:spacing w:after="0"/>
            </w:pPr>
            <w:r/>
            <w:r>
              <w:rPr>
                <w:b w:val="0"/>
                <w:sz w:val="14"/>
              </w:rPr>
              <w:t>Contract; work reality factors; supervision evidence; schedule; tools; reporting; payment; org integration.</w:t>
            </w:r>
          </w:p>
        </w:tc>
        <w:tc>
          <w:tcPr>
            <w:tcW w:type="dxa" w:w="1944"/>
            <w:vAlign w:val="center"/>
          </w:tcPr>
          <w:p>
            <w:pPr>
              <w:spacing w:after="0"/>
            </w:pPr>
            <w:r/>
            <w:r>
              <w:rPr>
                <w:b w:val="0"/>
                <w:sz w:val="14"/>
              </w:rPr>
              <w:t>Route to special module if high risk.</w:t>
            </w:r>
          </w:p>
        </w:tc>
      </w:tr>
    </w:tbl>
    <w:p/>
    <w:p>
      <w:pPr>
        <w:pStyle w:val="Heading1"/>
      </w:pPr>
      <w:r>
        <w:t>8. Proof scoring</w:t>
      </w:r>
    </w:p>
    <w:p>
      <w:r>
        <w:t>Each relevant legal fact should receive a score. The case cannot move to partner approval if a critical fact is below threshold.</w:t>
      </w:r>
    </w:p>
    <w:tbl>
      <w:tblPr>
        <w:tblStyle w:val="TableGrid"/>
        <w:tblW w:type="auto" w:w="0"/>
        <w:jc w:val="center"/>
        <w:tblLook w:firstColumn="1" w:firstRow="1" w:lastColumn="0" w:lastRow="0" w:noHBand="0" w:noVBand="1" w:val="04A0"/>
      </w:tblPr>
      <w:tblGrid>
        <w:gridCol w:w="1008"/>
        <w:gridCol w:w="4320"/>
        <w:gridCol w:w="4464"/>
      </w:tblGrid>
      <w:tr>
        <w:tc>
          <w:tcPr>
            <w:tcW w:type="dxa" w:w="3408"/>
            <w:vAlign w:val="center"/>
            <w:shd w:fill="EAF2F8"/>
          </w:tcPr>
          <w:p>
            <w:pPr>
              <w:spacing w:after="0"/>
            </w:pPr>
            <w:r/>
            <w:r>
              <w:rPr>
                <w:b/>
                <w:sz w:val="16"/>
              </w:rPr>
              <w:t>Score</w:t>
            </w:r>
          </w:p>
        </w:tc>
        <w:tc>
          <w:tcPr>
            <w:tcW w:type="dxa" w:w="3408"/>
            <w:vAlign w:val="center"/>
            <w:shd w:fill="EAF2F8"/>
          </w:tcPr>
          <w:p>
            <w:pPr>
              <w:spacing w:after="0"/>
            </w:pPr>
            <w:r/>
            <w:r>
              <w:rPr>
                <w:b/>
                <w:sz w:val="16"/>
              </w:rPr>
              <w:t>Meaning</w:t>
            </w:r>
          </w:p>
        </w:tc>
        <w:tc>
          <w:tcPr>
            <w:tcW w:type="dxa" w:w="3408"/>
            <w:vAlign w:val="center"/>
            <w:shd w:fill="EAF2F8"/>
          </w:tcPr>
          <w:p>
            <w:pPr>
              <w:spacing w:after="0"/>
            </w:pPr>
            <w:r/>
            <w:r>
              <w:rPr>
                <w:b/>
                <w:sz w:val="16"/>
              </w:rPr>
              <w:t>Workflow effect</w:t>
            </w:r>
          </w:p>
        </w:tc>
      </w:tr>
      <w:tr>
        <w:tc>
          <w:tcPr>
            <w:tcW w:type="dxa" w:w="1008"/>
            <w:vAlign w:val="center"/>
          </w:tcPr>
          <w:p>
            <w:pPr>
              <w:spacing w:after="0"/>
            </w:pPr>
            <w:r/>
            <w:r>
              <w:rPr>
                <w:b w:val="0"/>
                <w:sz w:val="15"/>
              </w:rPr>
              <w:t>0</w:t>
            </w:r>
          </w:p>
        </w:tc>
        <w:tc>
          <w:tcPr>
            <w:tcW w:type="dxa" w:w="4320"/>
            <w:vAlign w:val="center"/>
          </w:tcPr>
          <w:p>
            <w:pPr>
              <w:spacing w:after="0"/>
            </w:pPr>
            <w:r/>
            <w:r>
              <w:rPr>
                <w:b w:val="0"/>
                <w:sz w:val="15"/>
              </w:rPr>
              <w:t>No evidence.</w:t>
            </w:r>
          </w:p>
        </w:tc>
        <w:tc>
          <w:tcPr>
            <w:tcW w:type="dxa" w:w="4464"/>
            <w:vAlign w:val="center"/>
          </w:tcPr>
          <w:p>
            <w:pPr>
              <w:spacing w:after="0"/>
            </w:pPr>
            <w:r/>
            <w:r>
              <w:rPr>
                <w:b w:val="0"/>
                <w:sz w:val="15"/>
              </w:rPr>
              <w:t>Block if critical.</w:t>
            </w:r>
          </w:p>
        </w:tc>
      </w:tr>
      <w:tr>
        <w:tc>
          <w:tcPr>
            <w:tcW w:type="dxa" w:w="1008"/>
            <w:vAlign w:val="center"/>
          </w:tcPr>
          <w:p>
            <w:pPr>
              <w:spacing w:after="0"/>
            </w:pPr>
            <w:r/>
            <w:r>
              <w:rPr>
                <w:b w:val="0"/>
                <w:sz w:val="15"/>
              </w:rPr>
              <w:t>1</w:t>
            </w:r>
          </w:p>
        </w:tc>
        <w:tc>
          <w:tcPr>
            <w:tcW w:type="dxa" w:w="4320"/>
            <w:vAlign w:val="center"/>
          </w:tcPr>
          <w:p>
            <w:pPr>
              <w:spacing w:after="0"/>
            </w:pPr>
            <w:r/>
            <w:r>
              <w:rPr>
                <w:b w:val="0"/>
                <w:sz w:val="15"/>
              </w:rPr>
              <w:t>Weak/internal assertion only.</w:t>
            </w:r>
          </w:p>
        </w:tc>
        <w:tc>
          <w:tcPr>
            <w:tcW w:type="dxa" w:w="4464"/>
            <w:vAlign w:val="center"/>
          </w:tcPr>
          <w:p>
            <w:pPr>
              <w:spacing w:after="0"/>
            </w:pPr>
            <w:r/>
            <w:r>
              <w:rPr>
                <w:b w:val="0"/>
                <w:sz w:val="15"/>
              </w:rPr>
              <w:t>Block for causal; warning for minor item.</w:t>
            </w:r>
          </w:p>
        </w:tc>
      </w:tr>
      <w:tr>
        <w:tc>
          <w:tcPr>
            <w:tcW w:type="dxa" w:w="1008"/>
            <w:vAlign w:val="center"/>
          </w:tcPr>
          <w:p>
            <w:pPr>
              <w:spacing w:after="0"/>
            </w:pPr>
            <w:r/>
            <w:r>
              <w:rPr>
                <w:b w:val="0"/>
                <w:sz w:val="15"/>
              </w:rPr>
              <w:t>2</w:t>
            </w:r>
          </w:p>
        </w:tc>
        <w:tc>
          <w:tcPr>
            <w:tcW w:type="dxa" w:w="4320"/>
            <w:vAlign w:val="center"/>
          </w:tcPr>
          <w:p>
            <w:pPr>
              <w:spacing w:after="0"/>
            </w:pPr>
            <w:r/>
            <w:r>
              <w:rPr>
                <w:b w:val="0"/>
                <w:sz w:val="15"/>
              </w:rPr>
              <w:t>Some evidence but incomplete or not contemporaneous.</w:t>
            </w:r>
          </w:p>
        </w:tc>
        <w:tc>
          <w:tcPr>
            <w:tcW w:type="dxa" w:w="4464"/>
            <w:vAlign w:val="center"/>
          </w:tcPr>
          <w:p>
            <w:pPr>
              <w:spacing w:after="0"/>
            </w:pPr>
            <w:r/>
            <w:r>
              <w:rPr>
                <w:b w:val="0"/>
                <w:sz w:val="15"/>
              </w:rPr>
              <w:t>Partner review required.</w:t>
            </w:r>
          </w:p>
        </w:tc>
      </w:tr>
      <w:tr>
        <w:tc>
          <w:tcPr>
            <w:tcW w:type="dxa" w:w="1008"/>
            <w:vAlign w:val="center"/>
          </w:tcPr>
          <w:p>
            <w:pPr>
              <w:spacing w:after="0"/>
            </w:pPr>
            <w:r/>
            <w:r>
              <w:rPr>
                <w:b w:val="0"/>
                <w:sz w:val="15"/>
              </w:rPr>
              <w:t>3</w:t>
            </w:r>
          </w:p>
        </w:tc>
        <w:tc>
          <w:tcPr>
            <w:tcW w:type="dxa" w:w="4320"/>
            <w:vAlign w:val="center"/>
          </w:tcPr>
          <w:p>
            <w:pPr>
              <w:spacing w:after="0"/>
            </w:pPr>
            <w:r/>
            <w:r>
              <w:rPr>
                <w:b w:val="0"/>
                <w:sz w:val="15"/>
              </w:rPr>
              <w:t>Adequate contemporaneous evidence.</w:t>
            </w:r>
          </w:p>
        </w:tc>
        <w:tc>
          <w:tcPr>
            <w:tcW w:type="dxa" w:w="4464"/>
            <w:vAlign w:val="center"/>
          </w:tcPr>
          <w:p>
            <w:pPr>
              <w:spacing w:after="0"/>
            </w:pPr>
            <w:r/>
            <w:r>
              <w:rPr>
                <w:b w:val="0"/>
                <w:sz w:val="15"/>
              </w:rPr>
              <w:t>Pass with normal review.</w:t>
            </w:r>
          </w:p>
        </w:tc>
      </w:tr>
      <w:tr>
        <w:tc>
          <w:tcPr>
            <w:tcW w:type="dxa" w:w="1008"/>
            <w:vAlign w:val="center"/>
          </w:tcPr>
          <w:p>
            <w:pPr>
              <w:spacing w:after="0"/>
            </w:pPr>
            <w:r/>
            <w:r>
              <w:rPr>
                <w:b w:val="0"/>
                <w:sz w:val="15"/>
              </w:rPr>
              <w:t>4</w:t>
            </w:r>
          </w:p>
        </w:tc>
        <w:tc>
          <w:tcPr>
            <w:tcW w:type="dxa" w:w="4320"/>
            <w:vAlign w:val="center"/>
          </w:tcPr>
          <w:p>
            <w:pPr>
              <w:spacing w:after="0"/>
            </w:pPr>
            <w:r/>
            <w:r>
              <w:rPr>
                <w:b w:val="0"/>
                <w:sz w:val="15"/>
              </w:rPr>
              <w:t>Strong evidence with external/third-party support.</w:t>
            </w:r>
          </w:p>
        </w:tc>
        <w:tc>
          <w:tcPr>
            <w:tcW w:type="dxa" w:w="4464"/>
            <w:vAlign w:val="center"/>
          </w:tcPr>
          <w:p>
            <w:pPr>
              <w:spacing w:after="0"/>
            </w:pPr>
            <w:r/>
            <w:r>
              <w:rPr>
                <w:b w:val="0"/>
                <w:sz w:val="15"/>
              </w:rPr>
              <w:t>Pass.</w:t>
            </w:r>
          </w:p>
        </w:tc>
      </w:tr>
      <w:tr>
        <w:tc>
          <w:tcPr>
            <w:tcW w:type="dxa" w:w="1008"/>
            <w:vAlign w:val="center"/>
          </w:tcPr>
          <w:p>
            <w:pPr>
              <w:spacing w:after="0"/>
            </w:pPr>
            <w:r/>
            <w:r>
              <w:rPr>
                <w:b w:val="0"/>
                <w:sz w:val="15"/>
              </w:rPr>
              <w:t>5</w:t>
            </w:r>
          </w:p>
        </w:tc>
        <w:tc>
          <w:tcPr>
            <w:tcW w:type="dxa" w:w="4320"/>
            <w:vAlign w:val="center"/>
          </w:tcPr>
          <w:p>
            <w:pPr>
              <w:spacing w:after="0"/>
            </w:pPr>
            <w:r/>
            <w:r>
              <w:rPr>
                <w:b w:val="0"/>
                <w:sz w:val="15"/>
              </w:rPr>
              <w:t>Court-ready evidence bundle.</w:t>
            </w:r>
          </w:p>
        </w:tc>
        <w:tc>
          <w:tcPr>
            <w:tcW w:type="dxa" w:w="4464"/>
            <w:vAlign w:val="center"/>
          </w:tcPr>
          <w:p>
            <w:pPr>
              <w:spacing w:after="0"/>
            </w:pPr>
            <w:r/>
            <w:r>
              <w:rPr>
                <w:b w:val="0"/>
                <w:sz w:val="15"/>
              </w:rPr>
              <w:t>Pass; marked litigation-proof.</w:t>
            </w:r>
          </w:p>
        </w:tc>
      </w:tr>
    </w:tbl>
    <w:p/>
    <w:p>
      <w:r>
        <w:t>Recommended thresholds:</w:t>
      </w:r>
    </w:p>
    <w:p>
      <w:pPr>
        <w:pStyle w:val="ListBullet"/>
        <w:spacing w:after="40"/>
      </w:pPr>
      <w:r>
        <w:t>Art. 161 causal facts: minimum 4.</w:t>
      </w:r>
    </w:p>
    <w:p>
      <w:pPr>
        <w:pStyle w:val="ListBullet"/>
        <w:spacing w:after="40"/>
      </w:pPr>
      <w:r>
        <w:t>Letter delivery and DT filing: minimum 5.</w:t>
      </w:r>
    </w:p>
    <w:p>
      <w:pPr>
        <w:pStyle w:val="ListBullet"/>
        <w:spacing w:after="40"/>
      </w:pPr>
      <w:r>
        <w:t>Cotizaciones paid: minimum 5.</w:t>
      </w:r>
    </w:p>
    <w:p>
      <w:pPr>
        <w:pStyle w:val="ListBullet"/>
        <w:spacing w:after="40"/>
      </w:pPr>
      <w:r>
        <w:t>Deductions and AFC offset: minimum 5 plus partner approval.</w:t>
      </w:r>
    </w:p>
    <w:p>
      <w:pPr>
        <w:pStyle w:val="ListBullet"/>
        <w:spacing w:after="40"/>
      </w:pPr>
      <w:r>
        <w:t>Bonuses/reimbursements: minimum 3; minimum 4 if material amount.</w:t>
      </w:r>
    </w:p>
    <w:p>
      <w:pPr>
        <w:pStyle w:val="Heading1"/>
      </w:pPr>
      <w:r>
        <w:t>9. Developer pseudocode</w:t>
      </w:r>
    </w:p>
    <w:p>
      <w:pPr>
        <w:ind w:left="360"/>
      </w:pPr>
      <w:r>
        <w:rPr>
          <w:rFonts w:ascii="Consolas" w:hAnsi="Consolas"/>
          <w:sz w:val="17"/>
        </w:rPr>
        <w:t>function runFix1(caseInput):</w:t>
      </w:r>
    </w:p>
    <w:p>
      <w:pPr>
        <w:ind w:left="360"/>
      </w:pPr>
      <w:r>
        <w:rPr>
          <w:rFonts w:ascii="Consolas" w:hAnsi="Consolas"/>
          <w:sz w:val="17"/>
        </w:rPr>
        <w:t xml:space="preserve">  classification = classifyCase(caseInput)</w:t>
      </w:r>
    </w:p>
    <w:p>
      <w:pPr>
        <w:ind w:left="360"/>
      </w:pPr>
      <w:r>
        <w:rPr>
          <w:rFonts w:ascii="Consolas" w:hAnsi="Consolas"/>
          <w:sz w:val="17"/>
        </w:rPr>
        <w:t xml:space="preserve">  blockers = runBaseRiskEngine(caseInput, classification)</w:t>
      </w:r>
    </w:p>
    <w:p>
      <w:pPr>
        <w:ind w:left="360"/>
      </w:pPr>
      <w:r>
        <w:rPr>
          <w:rFonts w:ascii="Consolas" w:hAnsi="Consolas"/>
          <w:sz w:val="17"/>
        </w:rPr>
        <w:t xml:space="preserve">  letterReview = reviewDismissalLetter(caseInput.dismissal_letter, classification)</w:t>
      </w:r>
    </w:p>
    <w:p>
      <w:pPr>
        <w:ind w:left="360"/>
      </w:pPr>
      <w:r>
        <w:rPr>
          <w:rFonts w:ascii="Consolas" w:hAnsi="Consolas"/>
          <w:sz w:val="17"/>
        </w:rPr>
        <w:t xml:space="preserve">  evidenceMatrix = buildEvidenceMatrix(caseInput, classification)</w:t>
      </w:r>
    </w:p>
    <w:p>
      <w:pPr>
        <w:ind w:left="360"/>
      </w:pPr>
      <w:r>
        <w:rPr>
          <w:rFonts w:ascii="Consolas" w:hAnsi="Consolas"/>
          <w:sz w:val="17"/>
        </w:rPr>
        <w:t xml:space="preserve">  proofResult = scoreBurdenOfProof(evidenceMatrix)</w:t>
      </w:r>
    </w:p>
    <w:p>
      <w:pPr>
        <w:ind w:left="360"/>
      </w:pPr>
      <w:r>
        <w:rPr>
          <w:rFonts w:ascii="Consolas" w:hAnsi="Consolas"/>
          <w:sz w:val="17"/>
        </w:rPr>
        <w:t xml:space="preserve">  if proofResult.hasCriticalGap:</w:t>
      </w:r>
    </w:p>
    <w:p>
      <w:pPr>
        <w:ind w:left="360"/>
      </w:pPr>
      <w:r>
        <w:rPr>
          <w:rFonts w:ascii="Consolas" w:hAnsi="Consolas"/>
          <w:sz w:val="17"/>
        </w:rPr>
        <w:t xml:space="preserve">      return blocked('PROOF_GAPS_BLOCKED', proofResult)</w:t>
      </w:r>
    </w:p>
    <w:p>
      <w:pPr>
        <w:ind w:left="360"/>
      </w:pPr>
      <w:r>
        <w:rPr>
          <w:rFonts w:ascii="Consolas" w:hAnsi="Consolas"/>
          <w:sz w:val="17"/>
        </w:rPr>
        <w:t xml:space="preserve">  calc = calculateFiniquitoScenarios(caseInput, classification)</w:t>
      </w:r>
    </w:p>
    <w:p>
      <w:pPr>
        <w:ind w:left="360"/>
      </w:pPr>
      <w:r>
        <w:rPr>
          <w:rFonts w:ascii="Consolas" w:hAnsi="Consolas"/>
          <w:sz w:val="17"/>
        </w:rPr>
        <w:t xml:space="preserve">  taxReview = validateTaxAndPrevisionalTreatment(caseInput, calc)</w:t>
      </w:r>
    </w:p>
    <w:p>
      <w:pPr>
        <w:ind w:left="360"/>
      </w:pPr>
      <w:r>
        <w:rPr>
          <w:rFonts w:ascii="Consolas" w:hAnsi="Consolas"/>
          <w:sz w:val="17"/>
        </w:rPr>
        <w:t xml:space="preserve">  finiquitoExec = validateFiniquitoExecution(caseInput.finiquito_execution)</w:t>
      </w:r>
    </w:p>
    <w:p>
      <w:pPr>
        <w:ind w:left="360"/>
      </w:pPr>
      <w:r>
        <w:rPr>
          <w:rFonts w:ascii="Consolas" w:hAnsi="Consolas"/>
          <w:sz w:val="17"/>
        </w:rPr>
        <w:t xml:space="preserve">  partnerPacket = buildPartnerReviewPacket(caseInput, proofResult, calc, taxReview, finiquitoExec)</w:t>
      </w:r>
    </w:p>
    <w:p>
      <w:pPr>
        <w:ind w:left="360"/>
      </w:pPr>
      <w:r>
        <w:rPr>
          <w:rFonts w:ascii="Consolas" w:hAnsi="Consolas"/>
          <w:sz w:val="17"/>
        </w:rPr>
        <w:t xml:space="preserve">  if partnerPacket.approved:</w:t>
      </w:r>
    </w:p>
    <w:p>
      <w:pPr>
        <w:ind w:left="360"/>
      </w:pPr>
      <w:r>
        <w:rPr>
          <w:rFonts w:ascii="Consolas" w:hAnsi="Consolas"/>
          <w:sz w:val="17"/>
        </w:rPr>
        <w:t xml:space="preserve">      return buildTribunalExport(partnerPacket)</w:t>
      </w:r>
    </w:p>
    <w:p>
      <w:pPr>
        <w:pStyle w:val="Heading1"/>
      </w:pPr>
      <w:r>
        <w:t>10. API endpoints to add</w:t>
      </w:r>
    </w:p>
    <w:tbl>
      <w:tblPr>
        <w:tblStyle w:val="TableGrid"/>
        <w:tblW w:type="auto" w:w="0"/>
        <w:jc w:val="center"/>
        <w:tblLook w:firstColumn="1" w:firstRow="1" w:lastColumn="0" w:lastRow="0" w:noHBand="0" w:noVBand="1" w:val="04A0"/>
      </w:tblPr>
      <w:tblGrid>
        <w:gridCol w:w="3168"/>
        <w:gridCol w:w="1080"/>
        <w:gridCol w:w="4320"/>
        <w:gridCol w:w="1800"/>
      </w:tblGrid>
      <w:tr>
        <w:tc>
          <w:tcPr>
            <w:tcW w:type="dxa" w:w="2556"/>
            <w:vAlign w:val="center"/>
            <w:shd w:fill="EAF2F8"/>
          </w:tcPr>
          <w:p>
            <w:pPr>
              <w:spacing w:after="0"/>
            </w:pPr>
            <w:r/>
            <w:r>
              <w:rPr>
                <w:b/>
                <w:sz w:val="16"/>
              </w:rPr>
              <w:t>Endpoint</w:t>
            </w:r>
          </w:p>
        </w:tc>
        <w:tc>
          <w:tcPr>
            <w:tcW w:type="dxa" w:w="2556"/>
            <w:vAlign w:val="center"/>
            <w:shd w:fill="EAF2F8"/>
          </w:tcPr>
          <w:p>
            <w:pPr>
              <w:spacing w:after="0"/>
            </w:pPr>
            <w:r/>
            <w:r>
              <w:rPr>
                <w:b/>
                <w:sz w:val="16"/>
              </w:rPr>
              <w:t>Method</w:t>
            </w:r>
          </w:p>
        </w:tc>
        <w:tc>
          <w:tcPr>
            <w:tcW w:type="dxa" w:w="2556"/>
            <w:vAlign w:val="center"/>
            <w:shd w:fill="EAF2F8"/>
          </w:tcPr>
          <w:p>
            <w:pPr>
              <w:spacing w:after="0"/>
            </w:pPr>
            <w:r/>
            <w:r>
              <w:rPr>
                <w:b/>
                <w:sz w:val="16"/>
              </w:rPr>
              <w:t>Purpose</w:t>
            </w:r>
          </w:p>
        </w:tc>
        <w:tc>
          <w:tcPr>
            <w:tcW w:type="dxa" w:w="2556"/>
            <w:vAlign w:val="center"/>
            <w:shd w:fill="EAF2F8"/>
          </w:tcPr>
          <w:p>
            <w:pPr>
              <w:spacing w:after="0"/>
            </w:pPr>
            <w:r/>
            <w:r>
              <w:rPr>
                <w:b/>
                <w:sz w:val="16"/>
              </w:rPr>
              <w:t>Output</w:t>
            </w:r>
          </w:p>
        </w:tc>
      </w:tr>
      <w:tr>
        <w:tc>
          <w:tcPr>
            <w:tcW w:type="dxa" w:w="3168"/>
            <w:vAlign w:val="center"/>
          </w:tcPr>
          <w:p>
            <w:pPr>
              <w:spacing w:after="0"/>
            </w:pPr>
            <w:r/>
            <w:r>
              <w:rPr>
                <w:b w:val="0"/>
                <w:sz w:val="15"/>
              </w:rPr>
              <w:t>/cases/{id}/evidence</w:t>
            </w:r>
          </w:p>
        </w:tc>
        <w:tc>
          <w:tcPr>
            <w:tcW w:type="dxa" w:w="1080"/>
            <w:vAlign w:val="center"/>
          </w:tcPr>
          <w:p>
            <w:pPr>
              <w:spacing w:after="0"/>
            </w:pPr>
            <w:r/>
            <w:r>
              <w:rPr>
                <w:b w:val="0"/>
                <w:sz w:val="15"/>
              </w:rPr>
              <w:t>POST</w:t>
            </w:r>
          </w:p>
        </w:tc>
        <w:tc>
          <w:tcPr>
            <w:tcW w:type="dxa" w:w="4320"/>
            <w:vAlign w:val="center"/>
          </w:tcPr>
          <w:p>
            <w:pPr>
              <w:spacing w:after="0"/>
            </w:pPr>
            <w:r/>
            <w:r>
              <w:rPr>
                <w:b w:val="0"/>
                <w:sz w:val="15"/>
              </w:rPr>
              <w:t>Upload/register evidence item.</w:t>
            </w:r>
          </w:p>
        </w:tc>
        <w:tc>
          <w:tcPr>
            <w:tcW w:type="dxa" w:w="1800"/>
            <w:vAlign w:val="center"/>
          </w:tcPr>
          <w:p>
            <w:pPr>
              <w:spacing w:after="0"/>
            </w:pPr>
            <w:r/>
            <w:r>
              <w:rPr>
                <w:b w:val="0"/>
                <w:sz w:val="15"/>
              </w:rPr>
              <w:t>EvidenceItem</w:t>
            </w:r>
          </w:p>
        </w:tc>
      </w:tr>
      <w:tr>
        <w:tc>
          <w:tcPr>
            <w:tcW w:type="dxa" w:w="3168"/>
            <w:vAlign w:val="center"/>
          </w:tcPr>
          <w:p>
            <w:pPr>
              <w:spacing w:after="0"/>
            </w:pPr>
            <w:r/>
            <w:r>
              <w:rPr>
                <w:b w:val="0"/>
                <w:sz w:val="15"/>
              </w:rPr>
              <w:t>/cases/{id}/evidence-matrix</w:t>
            </w:r>
          </w:p>
        </w:tc>
        <w:tc>
          <w:tcPr>
            <w:tcW w:type="dxa" w:w="1080"/>
            <w:vAlign w:val="center"/>
          </w:tcPr>
          <w:p>
            <w:pPr>
              <w:spacing w:after="0"/>
            </w:pPr>
            <w:r/>
            <w:r>
              <w:rPr>
                <w:b w:val="0"/>
                <w:sz w:val="15"/>
              </w:rPr>
              <w:t>GET</w:t>
            </w:r>
          </w:p>
        </w:tc>
        <w:tc>
          <w:tcPr>
            <w:tcW w:type="dxa" w:w="4320"/>
            <w:vAlign w:val="center"/>
          </w:tcPr>
          <w:p>
            <w:pPr>
              <w:spacing w:after="0"/>
            </w:pPr>
            <w:r/>
            <w:r>
              <w:rPr>
                <w:b w:val="0"/>
                <w:sz w:val="15"/>
              </w:rPr>
              <w:t>Show required vs provided evidence.</w:t>
            </w:r>
          </w:p>
        </w:tc>
        <w:tc>
          <w:tcPr>
            <w:tcW w:type="dxa" w:w="1800"/>
            <w:vAlign w:val="center"/>
          </w:tcPr>
          <w:p>
            <w:pPr>
              <w:spacing w:after="0"/>
            </w:pPr>
            <w:r/>
            <w:r>
              <w:rPr>
                <w:b w:val="0"/>
                <w:sz w:val="15"/>
              </w:rPr>
              <w:t>EvidenceMatrix</w:t>
            </w:r>
          </w:p>
        </w:tc>
      </w:tr>
      <w:tr>
        <w:tc>
          <w:tcPr>
            <w:tcW w:type="dxa" w:w="3168"/>
            <w:vAlign w:val="center"/>
          </w:tcPr>
          <w:p>
            <w:pPr>
              <w:spacing w:after="0"/>
            </w:pPr>
            <w:r/>
            <w:r>
              <w:rPr>
                <w:b w:val="0"/>
                <w:sz w:val="15"/>
              </w:rPr>
              <w:t>/cases/{id}/dismissal-letter/review</w:t>
            </w:r>
          </w:p>
        </w:tc>
        <w:tc>
          <w:tcPr>
            <w:tcW w:type="dxa" w:w="1080"/>
            <w:vAlign w:val="center"/>
          </w:tcPr>
          <w:p>
            <w:pPr>
              <w:spacing w:after="0"/>
            </w:pPr>
            <w:r/>
            <w:r>
              <w:rPr>
                <w:b w:val="0"/>
                <w:sz w:val="15"/>
              </w:rPr>
              <w:t>POST</w:t>
            </w:r>
          </w:p>
        </w:tc>
        <w:tc>
          <w:tcPr>
            <w:tcW w:type="dxa" w:w="4320"/>
            <w:vAlign w:val="center"/>
          </w:tcPr>
          <w:p>
            <w:pPr>
              <w:spacing w:after="0"/>
            </w:pPr>
            <w:r/>
            <w:r>
              <w:rPr>
                <w:b w:val="0"/>
                <w:sz w:val="15"/>
              </w:rPr>
              <w:t>Analyze carta de despido sufficiency.</w:t>
            </w:r>
          </w:p>
        </w:tc>
        <w:tc>
          <w:tcPr>
            <w:tcW w:type="dxa" w:w="1800"/>
            <w:vAlign w:val="center"/>
          </w:tcPr>
          <w:p>
            <w:pPr>
              <w:spacing w:after="0"/>
            </w:pPr>
            <w:r/>
            <w:r>
              <w:rPr>
                <w:b w:val="0"/>
                <w:sz w:val="15"/>
              </w:rPr>
              <w:t>DismissalLetterReview</w:t>
            </w:r>
          </w:p>
        </w:tc>
      </w:tr>
      <w:tr>
        <w:tc>
          <w:tcPr>
            <w:tcW w:type="dxa" w:w="3168"/>
            <w:vAlign w:val="center"/>
          </w:tcPr>
          <w:p>
            <w:pPr>
              <w:spacing w:after="0"/>
            </w:pPr>
            <w:r/>
            <w:r>
              <w:rPr>
                <w:b w:val="0"/>
                <w:sz w:val="15"/>
              </w:rPr>
              <w:t>/cases/{id}/proof-score</w:t>
            </w:r>
          </w:p>
        </w:tc>
        <w:tc>
          <w:tcPr>
            <w:tcW w:type="dxa" w:w="1080"/>
            <w:vAlign w:val="center"/>
          </w:tcPr>
          <w:p>
            <w:pPr>
              <w:spacing w:after="0"/>
            </w:pPr>
            <w:r/>
            <w:r>
              <w:rPr>
                <w:b w:val="0"/>
                <w:sz w:val="15"/>
              </w:rPr>
              <w:t>GET</w:t>
            </w:r>
          </w:p>
        </w:tc>
        <w:tc>
          <w:tcPr>
            <w:tcW w:type="dxa" w:w="4320"/>
            <w:vAlign w:val="center"/>
          </w:tcPr>
          <w:p>
            <w:pPr>
              <w:spacing w:after="0"/>
            </w:pPr>
            <w:r/>
            <w:r>
              <w:rPr>
                <w:b w:val="0"/>
                <w:sz w:val="15"/>
              </w:rPr>
              <w:t>Calculate proof sufficiency by legal fact.</w:t>
            </w:r>
          </w:p>
        </w:tc>
        <w:tc>
          <w:tcPr>
            <w:tcW w:type="dxa" w:w="1800"/>
            <w:vAlign w:val="center"/>
          </w:tcPr>
          <w:p>
            <w:pPr>
              <w:spacing w:after="0"/>
            </w:pPr>
            <w:r/>
            <w:r>
              <w:rPr>
                <w:b w:val="0"/>
                <w:sz w:val="15"/>
              </w:rPr>
              <w:t>ProofScore</w:t>
            </w:r>
          </w:p>
        </w:tc>
      </w:tr>
      <w:tr>
        <w:tc>
          <w:tcPr>
            <w:tcW w:type="dxa" w:w="3168"/>
            <w:vAlign w:val="center"/>
          </w:tcPr>
          <w:p>
            <w:pPr>
              <w:spacing w:after="0"/>
            </w:pPr>
            <w:r/>
            <w:r>
              <w:rPr>
                <w:b w:val="0"/>
                <w:sz w:val="15"/>
              </w:rPr>
              <w:t>/cases/{id}/finiquito-execution</w:t>
            </w:r>
          </w:p>
        </w:tc>
        <w:tc>
          <w:tcPr>
            <w:tcW w:type="dxa" w:w="1080"/>
            <w:vAlign w:val="center"/>
          </w:tcPr>
          <w:p>
            <w:pPr>
              <w:spacing w:after="0"/>
            </w:pPr>
            <w:r/>
            <w:r>
              <w:rPr>
                <w:b w:val="0"/>
                <w:sz w:val="15"/>
              </w:rPr>
              <w:t>POST</w:t>
            </w:r>
          </w:p>
        </w:tc>
        <w:tc>
          <w:tcPr>
            <w:tcW w:type="dxa" w:w="4320"/>
            <w:vAlign w:val="center"/>
          </w:tcPr>
          <w:p>
            <w:pPr>
              <w:spacing w:after="0"/>
            </w:pPr>
            <w:r/>
            <w:r>
              <w:rPr>
                <w:b w:val="0"/>
                <w:sz w:val="15"/>
              </w:rPr>
              <w:t>Register payment, signature, ratification, reservation.</w:t>
            </w:r>
          </w:p>
        </w:tc>
        <w:tc>
          <w:tcPr>
            <w:tcW w:type="dxa" w:w="1800"/>
            <w:vAlign w:val="center"/>
          </w:tcPr>
          <w:p>
            <w:pPr>
              <w:spacing w:after="0"/>
            </w:pPr>
            <w:r/>
            <w:r>
              <w:rPr>
                <w:b w:val="0"/>
                <w:sz w:val="15"/>
              </w:rPr>
              <w:t>FiniquitoExecution</w:t>
            </w:r>
          </w:p>
        </w:tc>
      </w:tr>
      <w:tr>
        <w:tc>
          <w:tcPr>
            <w:tcW w:type="dxa" w:w="3168"/>
            <w:vAlign w:val="center"/>
          </w:tcPr>
          <w:p>
            <w:pPr>
              <w:spacing w:after="0"/>
            </w:pPr>
            <w:r/>
            <w:r>
              <w:rPr>
                <w:b w:val="0"/>
                <w:sz w:val="15"/>
              </w:rPr>
              <w:t>/cases/{id}/tribunal-export</w:t>
            </w:r>
          </w:p>
        </w:tc>
        <w:tc>
          <w:tcPr>
            <w:tcW w:type="dxa" w:w="1080"/>
            <w:vAlign w:val="center"/>
          </w:tcPr>
          <w:p>
            <w:pPr>
              <w:spacing w:after="0"/>
            </w:pPr>
            <w:r/>
            <w:r>
              <w:rPr>
                <w:b w:val="0"/>
                <w:sz w:val="15"/>
              </w:rPr>
              <w:t>GET</w:t>
            </w:r>
          </w:p>
        </w:tc>
        <w:tc>
          <w:tcPr>
            <w:tcW w:type="dxa" w:w="4320"/>
            <w:vAlign w:val="center"/>
          </w:tcPr>
          <w:p>
            <w:pPr>
              <w:spacing w:after="0"/>
            </w:pPr>
            <w:r/>
            <w:r>
              <w:rPr>
                <w:b w:val="0"/>
                <w:sz w:val="15"/>
              </w:rPr>
              <w:t>Generate litigation-proof case file.</w:t>
            </w:r>
          </w:p>
        </w:tc>
        <w:tc>
          <w:tcPr>
            <w:tcW w:type="dxa" w:w="1800"/>
            <w:vAlign w:val="center"/>
          </w:tcPr>
          <w:p>
            <w:pPr>
              <w:spacing w:after="0"/>
            </w:pPr>
            <w:r/>
            <w:r>
              <w:rPr>
                <w:b w:val="0"/>
                <w:sz w:val="15"/>
              </w:rPr>
              <w:t>CaseFileZip/JSON</w:t>
            </w:r>
          </w:p>
        </w:tc>
      </w:tr>
    </w:tbl>
    <w:p/>
    <w:p>
      <w:pPr>
        <w:pStyle w:val="Heading1"/>
      </w:pPr>
      <w:r>
        <w:t>11. Acceptance criteria</w:t>
      </w:r>
    </w:p>
    <w:p>
      <w:pPr>
        <w:pStyle w:val="ListBullet"/>
        <w:spacing w:after="40"/>
      </w:pPr>
      <w:r>
        <w:t>The system blocks art. 161 cases with generic dismissal letter facts.</w:t>
      </w:r>
    </w:p>
    <w:p>
      <w:pPr>
        <w:pStyle w:val="ListBullet"/>
        <w:spacing w:after="40"/>
      </w:pPr>
      <w:r>
        <w:t>The system blocks execution if cotizaciones are not proven paid.</w:t>
      </w:r>
    </w:p>
    <w:p>
      <w:pPr>
        <w:pStyle w:val="ListBullet"/>
        <w:spacing w:after="40"/>
      </w:pPr>
      <w:r>
        <w:t>The system blocks AFC employer offset unless partner-approved.</w:t>
      </w:r>
    </w:p>
    <w:p>
      <w:pPr>
        <w:pStyle w:val="ListBullet"/>
        <w:spacing w:after="40"/>
      </w:pPr>
      <w:r>
        <w:t>Each calculation line includes legal_basis, evidence_refs, assumptions and reviewer status.</w:t>
      </w:r>
    </w:p>
    <w:p>
      <w:pPr>
        <w:pStyle w:val="ListBullet"/>
        <w:spacing w:after="40"/>
      </w:pPr>
      <w:r>
        <w:t>The client report distinguishes calculation result from litigation risk.</w:t>
      </w:r>
    </w:p>
    <w:p>
      <w:pPr>
        <w:pStyle w:val="ListBullet"/>
        <w:spacing w:after="40"/>
      </w:pPr>
      <w:r>
        <w:t>The tribunal export contains evidence manifest, hashes, calculation trace, approvals and source links.</w:t>
      </w:r>
    </w:p>
    <w:p>
      <w:pPr>
        <w:pStyle w:val="ListBullet"/>
        <w:spacing w:after="40"/>
      </w:pPr>
      <w:r>
        <w:t>Honorarios/public-sector cases do not proceed as ordinary private finiquito unless lawyer-approved.</w:t>
      </w:r>
    </w:p>
    <w:p>
      <w:pPr>
        <w:pStyle w:val="ListBullet"/>
        <w:spacing w:after="40"/>
      </w:pPr>
      <w:r>
        <w:t>The workflow cannot reach APPROVED_FOR_CLIENT if critical proof score is below threshold.</w:t>
      </w:r>
    </w:p>
    <w:p>
      <w:pPr>
        <w:pStyle w:val="Heading1"/>
      </w:pPr>
      <w:r>
        <w:t>12. Test cases</w:t>
      </w:r>
    </w:p>
    <w:tbl>
      <w:tblPr>
        <w:tblStyle w:val="TableGrid"/>
        <w:tblW w:type="auto" w:w="0"/>
        <w:jc w:val="center"/>
        <w:tblLook w:firstColumn="1" w:firstRow="1" w:lastColumn="0" w:lastRow="0" w:noHBand="0" w:noVBand="1" w:val="04A0"/>
      </w:tblPr>
      <w:tblGrid>
        <w:gridCol w:w="1440"/>
        <w:gridCol w:w="5040"/>
        <w:gridCol w:w="3600"/>
      </w:tblGrid>
      <w:tr>
        <w:tc>
          <w:tcPr>
            <w:tcW w:type="dxa" w:w="3408"/>
            <w:vAlign w:val="center"/>
            <w:shd w:fill="EAF2F8"/>
          </w:tcPr>
          <w:p>
            <w:pPr>
              <w:spacing w:after="0"/>
            </w:pPr>
            <w:r/>
            <w:r>
              <w:rPr>
                <w:b/>
                <w:sz w:val="16"/>
              </w:rPr>
              <w:t>Test</w:t>
            </w:r>
          </w:p>
        </w:tc>
        <w:tc>
          <w:tcPr>
            <w:tcW w:type="dxa" w:w="3408"/>
            <w:vAlign w:val="center"/>
            <w:shd w:fill="EAF2F8"/>
          </w:tcPr>
          <w:p>
            <w:pPr>
              <w:spacing w:after="0"/>
            </w:pPr>
            <w:r/>
            <w:r>
              <w:rPr>
                <w:b/>
                <w:sz w:val="16"/>
              </w:rPr>
              <w:t>Input condition</w:t>
            </w:r>
          </w:p>
        </w:tc>
        <w:tc>
          <w:tcPr>
            <w:tcW w:type="dxa" w:w="3408"/>
            <w:vAlign w:val="center"/>
            <w:shd w:fill="EAF2F8"/>
          </w:tcPr>
          <w:p>
            <w:pPr>
              <w:spacing w:after="0"/>
            </w:pPr>
            <w:r/>
            <w:r>
              <w:rPr>
                <w:b/>
                <w:sz w:val="16"/>
              </w:rPr>
              <w:t>Expected result</w:t>
            </w:r>
          </w:p>
        </w:tc>
      </w:tr>
      <w:tr>
        <w:tc>
          <w:tcPr>
            <w:tcW w:type="dxa" w:w="1440"/>
            <w:vAlign w:val="center"/>
          </w:tcPr>
          <w:p>
            <w:pPr>
              <w:spacing w:after="0"/>
            </w:pPr>
            <w:r/>
            <w:r>
              <w:rPr>
                <w:b w:val="0"/>
                <w:sz w:val="15"/>
              </w:rPr>
              <w:t>FIX1-TC01</w:t>
            </w:r>
          </w:p>
        </w:tc>
        <w:tc>
          <w:tcPr>
            <w:tcW w:type="dxa" w:w="5040"/>
            <w:vAlign w:val="center"/>
          </w:tcPr>
          <w:p>
            <w:pPr>
              <w:spacing w:after="0"/>
            </w:pPr>
            <w:r/>
            <w:r>
              <w:rPr>
                <w:b w:val="0"/>
                <w:sz w:val="15"/>
              </w:rPr>
              <w:t>Art. 161, generic carta, no org chart/report.</w:t>
            </w:r>
          </w:p>
        </w:tc>
        <w:tc>
          <w:tcPr>
            <w:tcW w:type="dxa" w:w="3600"/>
            <w:vAlign w:val="center"/>
          </w:tcPr>
          <w:p>
            <w:pPr>
              <w:spacing w:after="0"/>
            </w:pPr>
            <w:r/>
            <w:r>
              <w:rPr>
                <w:b w:val="0"/>
                <w:sz w:val="15"/>
              </w:rPr>
              <w:t>BLOCK: PROOF_GAPS_BLOCKED.</w:t>
            </w:r>
          </w:p>
        </w:tc>
      </w:tr>
      <w:tr>
        <w:tc>
          <w:tcPr>
            <w:tcW w:type="dxa" w:w="1440"/>
            <w:vAlign w:val="center"/>
          </w:tcPr>
          <w:p>
            <w:pPr>
              <w:spacing w:after="0"/>
            </w:pPr>
            <w:r/>
            <w:r>
              <w:rPr>
                <w:b w:val="0"/>
                <w:sz w:val="15"/>
              </w:rPr>
              <w:t>FIX1-TC02</w:t>
            </w:r>
          </w:p>
        </w:tc>
        <w:tc>
          <w:tcPr>
            <w:tcW w:type="dxa" w:w="5040"/>
            <w:vAlign w:val="center"/>
          </w:tcPr>
          <w:p>
            <w:pPr>
              <w:spacing w:after="0"/>
            </w:pPr>
            <w:r/>
            <w:r>
              <w:rPr>
                <w:b w:val="0"/>
                <w:sz w:val="15"/>
              </w:rPr>
              <w:t>Art. 161, full evidence + DT filing + cotizaciones paid.</w:t>
            </w:r>
          </w:p>
        </w:tc>
        <w:tc>
          <w:tcPr>
            <w:tcW w:type="dxa" w:w="3600"/>
            <w:vAlign w:val="center"/>
          </w:tcPr>
          <w:p>
            <w:pPr>
              <w:spacing w:after="0"/>
            </w:pPr>
            <w:r/>
            <w:r>
              <w:rPr>
                <w:b w:val="0"/>
                <w:sz w:val="15"/>
              </w:rPr>
              <w:t>Pass to partner review.</w:t>
            </w:r>
          </w:p>
        </w:tc>
      </w:tr>
      <w:tr>
        <w:tc>
          <w:tcPr>
            <w:tcW w:type="dxa" w:w="1440"/>
            <w:vAlign w:val="center"/>
          </w:tcPr>
          <w:p>
            <w:pPr>
              <w:spacing w:after="0"/>
            </w:pPr>
            <w:r/>
            <w:r>
              <w:rPr>
                <w:b w:val="0"/>
                <w:sz w:val="15"/>
              </w:rPr>
              <w:t>FIX1-TC03</w:t>
            </w:r>
          </w:p>
        </w:tc>
        <w:tc>
          <w:tcPr>
            <w:tcW w:type="dxa" w:w="5040"/>
            <w:vAlign w:val="center"/>
          </w:tcPr>
          <w:p>
            <w:pPr>
              <w:spacing w:after="0"/>
            </w:pPr>
            <w:r/>
            <w:r>
              <w:rPr>
                <w:b w:val="0"/>
                <w:sz w:val="15"/>
              </w:rPr>
              <w:t>Signed finiquito with broad reservation of rights.</w:t>
            </w:r>
          </w:p>
        </w:tc>
        <w:tc>
          <w:tcPr>
            <w:tcW w:type="dxa" w:w="3600"/>
            <w:vAlign w:val="center"/>
          </w:tcPr>
          <w:p>
            <w:pPr>
              <w:spacing w:after="0"/>
            </w:pPr>
            <w:r/>
            <w:r>
              <w:rPr>
                <w:b w:val="0"/>
                <w:sz w:val="15"/>
              </w:rPr>
              <w:t>Report warns finiquito defense limited.</w:t>
            </w:r>
          </w:p>
        </w:tc>
      </w:tr>
      <w:tr>
        <w:tc>
          <w:tcPr>
            <w:tcW w:type="dxa" w:w="1440"/>
            <w:vAlign w:val="center"/>
          </w:tcPr>
          <w:p>
            <w:pPr>
              <w:spacing w:after="0"/>
            </w:pPr>
            <w:r/>
            <w:r>
              <w:rPr>
                <w:b w:val="0"/>
                <w:sz w:val="15"/>
              </w:rPr>
              <w:t>FIX1-TC04</w:t>
            </w:r>
          </w:p>
        </w:tc>
        <w:tc>
          <w:tcPr>
            <w:tcW w:type="dxa" w:w="5040"/>
            <w:vAlign w:val="center"/>
          </w:tcPr>
          <w:p>
            <w:pPr>
              <w:spacing w:after="0"/>
            </w:pPr>
            <w:r/>
            <w:r>
              <w:rPr>
                <w:b w:val="0"/>
                <w:sz w:val="15"/>
              </w:rPr>
              <w:t>AFC employer offset attempted without approval.</w:t>
            </w:r>
          </w:p>
        </w:tc>
        <w:tc>
          <w:tcPr>
            <w:tcW w:type="dxa" w:w="3600"/>
            <w:vAlign w:val="center"/>
          </w:tcPr>
          <w:p>
            <w:pPr>
              <w:spacing w:after="0"/>
            </w:pPr>
            <w:r/>
            <w:r>
              <w:rPr>
                <w:b w:val="0"/>
                <w:sz w:val="15"/>
              </w:rPr>
              <w:t>BLOCK: AFC_OFFSET_REVIEW.</w:t>
            </w:r>
          </w:p>
        </w:tc>
      </w:tr>
      <w:tr>
        <w:tc>
          <w:tcPr>
            <w:tcW w:type="dxa" w:w="1440"/>
            <w:vAlign w:val="center"/>
          </w:tcPr>
          <w:p>
            <w:pPr>
              <w:spacing w:after="0"/>
            </w:pPr>
            <w:r/>
            <w:r>
              <w:rPr>
                <w:b w:val="0"/>
                <w:sz w:val="15"/>
              </w:rPr>
              <w:t>FIX1-TC05</w:t>
            </w:r>
          </w:p>
        </w:tc>
        <w:tc>
          <w:tcPr>
            <w:tcW w:type="dxa" w:w="5040"/>
            <w:vAlign w:val="center"/>
          </w:tcPr>
          <w:p>
            <w:pPr>
              <w:spacing w:after="0"/>
            </w:pPr>
            <w:r/>
            <w:r>
              <w:rPr>
                <w:b w:val="0"/>
                <w:sz w:val="15"/>
              </w:rPr>
              <w:t>Deductions entered without authorization.</w:t>
            </w:r>
          </w:p>
        </w:tc>
        <w:tc>
          <w:tcPr>
            <w:tcW w:type="dxa" w:w="3600"/>
            <w:vAlign w:val="center"/>
          </w:tcPr>
          <w:p>
            <w:pPr>
              <w:spacing w:after="0"/>
            </w:pPr>
            <w:r/>
            <w:r>
              <w:rPr>
                <w:b w:val="0"/>
                <w:sz w:val="15"/>
              </w:rPr>
              <w:t>Exclude deduction or block if material.</w:t>
            </w:r>
          </w:p>
        </w:tc>
      </w:tr>
      <w:tr>
        <w:tc>
          <w:tcPr>
            <w:tcW w:type="dxa" w:w="1440"/>
            <w:vAlign w:val="center"/>
          </w:tcPr>
          <w:p>
            <w:pPr>
              <w:spacing w:after="0"/>
            </w:pPr>
            <w:r/>
            <w:r>
              <w:rPr>
                <w:b w:val="0"/>
                <w:sz w:val="15"/>
              </w:rPr>
              <w:t>FIX1-TC06</w:t>
            </w:r>
          </w:p>
        </w:tc>
        <w:tc>
          <w:tcPr>
            <w:tcW w:type="dxa" w:w="5040"/>
            <w:vAlign w:val="center"/>
          </w:tcPr>
          <w:p>
            <w:pPr>
              <w:spacing w:after="0"/>
            </w:pPr>
            <w:r/>
            <w:r>
              <w:rPr>
                <w:b w:val="0"/>
                <w:sz w:val="15"/>
              </w:rPr>
              <w:t>Honorarios with high subordination score.</w:t>
            </w:r>
          </w:p>
        </w:tc>
        <w:tc>
          <w:tcPr>
            <w:tcW w:type="dxa" w:w="3600"/>
            <w:vAlign w:val="center"/>
          </w:tcPr>
          <w:p>
            <w:pPr>
              <w:spacing w:after="0"/>
            </w:pPr>
            <w:r/>
            <w:r>
              <w:rPr>
                <w:b w:val="0"/>
                <w:sz w:val="15"/>
              </w:rPr>
              <w:t>Route to recharacterization scenario.</w:t>
            </w:r>
          </w:p>
        </w:tc>
      </w:tr>
      <w:tr>
        <w:tc>
          <w:tcPr>
            <w:tcW w:type="dxa" w:w="1440"/>
            <w:vAlign w:val="center"/>
          </w:tcPr>
          <w:p>
            <w:pPr>
              <w:spacing w:after="0"/>
            </w:pPr>
            <w:r/>
            <w:r>
              <w:rPr>
                <w:b w:val="0"/>
                <w:sz w:val="15"/>
              </w:rPr>
              <w:t>FIX1-TC07</w:t>
            </w:r>
          </w:p>
        </w:tc>
        <w:tc>
          <w:tcPr>
            <w:tcW w:type="dxa" w:w="5040"/>
            <w:vAlign w:val="center"/>
          </w:tcPr>
          <w:p>
            <w:pPr>
              <w:spacing w:after="0"/>
            </w:pPr>
            <w:r/>
            <w:r>
              <w:rPr>
                <w:b w:val="0"/>
                <w:sz w:val="15"/>
              </w:rPr>
              <w:t>Cotizaciones unpaid.</w:t>
            </w:r>
          </w:p>
        </w:tc>
        <w:tc>
          <w:tcPr>
            <w:tcW w:type="dxa" w:w="3600"/>
            <w:vAlign w:val="center"/>
          </w:tcPr>
          <w:p>
            <w:pPr>
              <w:spacing w:after="0"/>
            </w:pPr>
            <w:r/>
            <w:r>
              <w:rPr>
                <w:b w:val="0"/>
                <w:sz w:val="15"/>
              </w:rPr>
              <w:t>Block + quantify nulidad exposure.</w:t>
            </w:r>
          </w:p>
        </w:tc>
      </w:tr>
      <w:tr>
        <w:tc>
          <w:tcPr>
            <w:tcW w:type="dxa" w:w="1440"/>
            <w:vAlign w:val="center"/>
          </w:tcPr>
          <w:p>
            <w:pPr>
              <w:spacing w:after="0"/>
            </w:pPr>
            <w:r/>
            <w:r>
              <w:rPr>
                <w:b w:val="0"/>
                <w:sz w:val="15"/>
              </w:rPr>
              <w:t>FIX1-TC08</w:t>
            </w:r>
          </w:p>
        </w:tc>
        <w:tc>
          <w:tcPr>
            <w:tcW w:type="dxa" w:w="5040"/>
            <w:vAlign w:val="center"/>
          </w:tcPr>
          <w:p>
            <w:pPr>
              <w:spacing w:after="0"/>
            </w:pPr>
            <w:r/>
            <w:r>
              <w:rPr>
                <w:b w:val="0"/>
                <w:sz w:val="15"/>
              </w:rPr>
              <w:t>Renuncia without voluntariness evidence and pressure flags.</w:t>
            </w:r>
          </w:p>
        </w:tc>
        <w:tc>
          <w:tcPr>
            <w:tcW w:type="dxa" w:w="3600"/>
            <w:vAlign w:val="center"/>
          </w:tcPr>
          <w:p>
            <w:pPr>
              <w:spacing w:after="0"/>
            </w:pPr>
            <w:r/>
            <w:r>
              <w:rPr>
                <w:b w:val="0"/>
                <w:sz w:val="15"/>
              </w:rPr>
              <w:t>Generate invalid resignation challenge scenario.</w:t>
            </w:r>
          </w:p>
        </w:tc>
      </w:tr>
    </w:tbl>
    <w:p/>
    <w:p>
      <w:pPr>
        <w:pStyle w:val="Heading1"/>
      </w:pPr>
      <w:r>
        <w:t>13. Case law references to encode as risk rules</w:t>
      </w:r>
    </w:p>
    <w:p>
      <w:pPr>
        <w:pStyle w:val="ListBullet"/>
      </w:pPr>
      <w:hyperlink r:id="rId9">
        <w:r>
          <w:rPr>
            <w:color w:val="0563C1"/>
            <w:u w:val="single"/>
          </w:rPr>
          <w:t>Needs-of-company generic letters rejected / insufficient factual basis</w:t>
        </w:r>
      </w:hyperlink>
    </w:p>
    <w:p>
      <w:pPr>
        <w:pStyle w:val="ListBullet"/>
      </w:pPr>
      <w:hyperlink r:id="rId10">
        <w:r>
          <w:rPr>
            <w:color w:val="0563C1"/>
            <w:u w:val="single"/>
          </w:rPr>
          <w:t>Needs-of-company proof failure in mining employer case</w:t>
        </w:r>
      </w:hyperlink>
    </w:p>
    <w:p>
      <w:pPr>
        <w:pStyle w:val="ListBullet"/>
      </w:pPr>
      <w:hyperlink r:id="rId11">
        <w:r>
          <w:rPr>
            <w:color w:val="0563C1"/>
            <w:u w:val="single"/>
          </w:rPr>
          <w:t>Finiquito/caducidad exceptions rejected</w:t>
        </w:r>
      </w:hyperlink>
    </w:p>
    <w:p>
      <w:pPr>
        <w:pStyle w:val="ListBullet"/>
      </w:pPr>
      <w:hyperlink r:id="rId12">
        <w:r>
          <w:rPr>
            <w:color w:val="0563C1"/>
            <w:u w:val="single"/>
          </w:rPr>
          <w:t>Supreme Court: employer AFC contribution restitution</w:t>
        </w:r>
      </w:hyperlink>
    </w:p>
    <w:p>
      <w:pPr>
        <w:pStyle w:val="ListBullet"/>
      </w:pPr>
      <w:hyperlink r:id="rId13">
        <w:r>
          <w:rPr>
            <w:color w:val="0563C1"/>
            <w:u w:val="single"/>
          </w:rPr>
          <w:t>Santiago Court: AFC refund and differences in IAS/notice/feriado</w:t>
        </w:r>
      </w:hyperlink>
    </w:p>
    <w:p>
      <w:pPr>
        <w:pStyle w:val="ListBullet"/>
      </w:pPr>
      <w:hyperlink r:id="rId14">
        <w:r>
          <w:rPr>
            <w:color w:val="0563C1"/>
            <w:u w:val="single"/>
          </w:rPr>
          <w:t>Honorarios recharacterized as employment — Municipalidad de La Pintana</w:t>
        </w:r>
      </w:hyperlink>
    </w:p>
    <w:p>
      <w:pPr>
        <w:pStyle w:val="ListBullet"/>
      </w:pPr>
      <w:hyperlink r:id="rId15">
        <w:r>
          <w:rPr>
            <w:color w:val="0563C1"/>
            <w:u w:val="single"/>
          </w:rPr>
          <w:t>Honorarios recharacterized as employment — Junji</w:t>
        </w:r>
      </w:hyperlink>
    </w:p>
    <w:p>
      <w:pPr>
        <w:pStyle w:val="ListBullet"/>
      </w:pPr>
      <w:hyperlink r:id="rId16">
        <w:r>
          <w:rPr>
            <w:color w:val="0563C1"/>
            <w:u w:val="single"/>
          </w:rPr>
          <w:t>Cotizaciones and autodespido exposure</w:t>
        </w:r>
      </w:hyperlink>
    </w:p>
    <w:p>
      <w:pPr>
        <w:pStyle w:val="ListBullet"/>
      </w:pPr>
      <w:hyperlink r:id="rId17">
        <w:r>
          <w:rPr>
            <w:color w:val="0563C1"/>
            <w:u w:val="single"/>
          </w:rPr>
          <w:t>Late dismissal communication sanction</w:t>
        </w:r>
      </w:hyperlink>
    </w:p>
    <w:p>
      <w:pPr>
        <w:pStyle w:val="Heading1"/>
      </w:pPr>
      <w:r>
        <w:t>14. Implementation sequence for Cursor</w:t>
      </w:r>
    </w:p>
    <w:p>
      <w:pPr>
        <w:pStyle w:val="ListNumber"/>
        <w:spacing w:after="40"/>
      </w:pPr>
      <w:r>
        <w:t>Create new branch: feature/fix1-litigation-proof.</w:t>
      </w:r>
    </w:p>
    <w:p>
      <w:pPr>
        <w:pStyle w:val="ListNumber"/>
        <w:spacing w:after="40"/>
      </w:pPr>
      <w:r>
        <w:t>Add schemas for EvidenceItem, DismissalLetter, FiniquitoExecution and LitigationCaseFile.</w:t>
      </w:r>
    </w:p>
    <w:p>
      <w:pPr>
        <w:pStyle w:val="ListNumber"/>
        <w:spacing w:after="40"/>
      </w:pPr>
      <w:r>
        <w:t>Add rules YAML for evidence requirements by cause and burden of proof.</w:t>
      </w:r>
    </w:p>
    <w:p>
      <w:pPr>
        <w:pStyle w:val="ListNumber"/>
        <w:spacing w:after="40"/>
      </w:pPr>
      <w:r>
        <w:t>Implement evidence_engine.ts and proof scoring.</w:t>
      </w:r>
    </w:p>
    <w:p>
      <w:pPr>
        <w:pStyle w:val="ListNumber"/>
        <w:spacing w:after="40"/>
      </w:pPr>
      <w:r>
        <w:t>Implement dismissal_letter_review service.</w:t>
      </w:r>
    </w:p>
    <w:p>
      <w:pPr>
        <w:pStyle w:val="ListNumber"/>
        <w:spacing w:after="40"/>
      </w:pPr>
      <w:r>
        <w:t>Update workflow state machine with proof-gaps states.</w:t>
      </w:r>
    </w:p>
    <w:p>
      <w:pPr>
        <w:pStyle w:val="ListNumber"/>
        <w:spacing w:after="40"/>
      </w:pPr>
      <w:r>
        <w:t>Update report generator to show evidence gaps and tribunal readiness.</w:t>
      </w:r>
    </w:p>
    <w:p>
      <w:pPr>
        <w:pStyle w:val="ListNumber"/>
        <w:spacing w:after="40"/>
      </w:pPr>
      <w:r>
        <w:t>Add tribunal_export service with manifest and hash list.</w:t>
      </w:r>
    </w:p>
    <w:p>
      <w:pPr>
        <w:pStyle w:val="ListNumber"/>
        <w:spacing w:after="40"/>
      </w:pPr>
      <w:r>
        <w:t>Add test cases FIX1-TC01 to FIX1-TC08.</w:t>
      </w:r>
    </w:p>
    <w:p>
      <w:pPr>
        <w:pStyle w:val="ListNumber"/>
        <w:spacing w:after="40"/>
      </w:pPr>
      <w:r>
        <w:t>Run sample cases and confirm blocked/passed outcomes match acceptance criteria.</w:t>
      </w:r>
    </w:p>
    <w:p>
      <w:pPr>
        <w:pStyle w:val="Heading1"/>
      </w:pPr>
      <w:r>
        <w:t>15. Final developer note</w:t>
      </w:r>
    </w:p>
    <w:p>
      <w:r>
        <w:t>Fix1 changes the product’s center of gravity: the calculator becomes one component of a legal defense file. For Chilean labor litigation, the system must answer: what did the employer allege, what did it prove, when did it notify, what did it pay, what did the worker reserve, and what evidence supports every peso and every legal assertion.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jud.cl/prensa-y-comunicaciones/noticias-del-poder-judicial/142102" TargetMode="External"/><Relationship Id="rId10" Type="http://schemas.openxmlformats.org/officeDocument/2006/relationships/hyperlink" Target="https://www.pjud.cl/prensa-y-comunicaciones/noticias-del-poder-judicial/128395" TargetMode="External"/><Relationship Id="rId11" Type="http://schemas.openxmlformats.org/officeDocument/2006/relationships/hyperlink" Target="https://www.pjud.cl/prensa-y-comunicaciones/noticias-del-poder-judicial/136520" TargetMode="External"/><Relationship Id="rId12" Type="http://schemas.openxmlformats.org/officeDocument/2006/relationships/hyperlink" Target="https://www.pjud.cl/prensa-y-comunicaciones/noticias-del-poder-judicial/129021" TargetMode="External"/><Relationship Id="rId13" Type="http://schemas.openxmlformats.org/officeDocument/2006/relationships/hyperlink" Target="https://www.pjud.cl/prensa-y-comunicaciones/noticias-del-poder-judicial/143835" TargetMode="External"/><Relationship Id="rId14" Type="http://schemas.openxmlformats.org/officeDocument/2006/relationships/hyperlink" Target="https://www.pjud.cl/prensa-y-comunicaciones/noticias-del-poder-judicial/134616" TargetMode="External"/><Relationship Id="rId15" Type="http://schemas.openxmlformats.org/officeDocument/2006/relationships/hyperlink" Target="https://www.pjud.cl/prensa-y-comunicaciones/noticias-del-poder-judicial/136903" TargetMode="External"/><Relationship Id="rId16" Type="http://schemas.openxmlformats.org/officeDocument/2006/relationships/hyperlink" Target="https://www.pjud.cl/prensa-y-comunicaciones/noticias-del-poder-judicial/127295" TargetMode="External"/><Relationship Id="rId17" Type="http://schemas.openxmlformats.org/officeDocument/2006/relationships/hyperlink" Target="https://www.pjud.cl/prensa-y-comunicaciones/noticias-del-poder-judicial/1296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