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Chile Labor Termination &amp; Finiquito Engine</w:t>
      </w:r>
    </w:p>
    <w:p>
      <w:r>
        <w:rPr>
          <w:i/>
        </w:rPr>
        <w:t>Developer-ready specification and implementation workflow for one single Streamlit program covering private-sector finiquitos, honorarios cases, and public-sector terminations.</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200"/>
        <w:gridCol w:w="7160"/>
      </w:tblGrid>
      <w:tr>
        <w:tc>
          <w:tcPr>
            <w:tcW w:type="dxa" w:w="2200"/>
            <w:shd w:fill="E8EEF5"/>
            <w:vAlign w:val="center"/>
          </w:tcPr>
          <w:p>
            <w:pPr>
              <w:spacing w:after="40"/>
            </w:pPr>
            <w:r>
              <w:rPr>
                <w:b/>
                <w:sz w:val="18"/>
              </w:rPr>
              <w:t>Field</w:t>
            </w:r>
          </w:p>
        </w:tc>
        <w:tc>
          <w:tcPr>
            <w:tcW w:type="dxa" w:w="7160"/>
            <w:shd w:fill="E8EEF5"/>
            <w:vAlign w:val="center"/>
          </w:tcPr>
          <w:p>
            <w:pPr>
              <w:spacing w:after="40"/>
            </w:pPr>
            <w:r>
              <w:rPr>
                <w:b/>
                <w:sz w:val="18"/>
              </w:rPr>
              <w:t>Specification</w:t>
            </w:r>
          </w:p>
        </w:tc>
      </w:tr>
      <w:tr>
        <w:tc>
          <w:tcPr>
            <w:tcW w:type="dxa" w:w="2200"/>
            <w:vAlign w:val="center"/>
          </w:tcPr>
          <w:p>
            <w:pPr>
              <w:spacing w:after="40"/>
            </w:pPr>
            <w:r>
              <w:rPr>
                <w:sz w:val="18"/>
              </w:rPr>
              <w:t>Program name</w:t>
            </w:r>
          </w:p>
        </w:tc>
        <w:tc>
          <w:tcPr>
            <w:tcW w:type="dxa" w:w="7160"/>
            <w:vAlign w:val="center"/>
          </w:tcPr>
          <w:p>
            <w:pPr>
              <w:spacing w:after="40"/>
            </w:pPr>
            <w:r>
              <w:rPr>
                <w:sz w:val="18"/>
              </w:rPr>
              <w:t>Chile Labor Termination &amp; Finiquito Engine</w:t>
            </w:r>
          </w:p>
        </w:tc>
      </w:tr>
      <w:tr>
        <w:tc>
          <w:tcPr>
            <w:tcW w:type="dxa" w:w="2200"/>
            <w:vAlign w:val="center"/>
          </w:tcPr>
          <w:p>
            <w:pPr>
              <w:spacing w:after="40"/>
            </w:pPr>
            <w:r>
              <w:rPr>
                <w:sz w:val="18"/>
              </w:rPr>
              <w:t>Target user</w:t>
            </w:r>
          </w:p>
        </w:tc>
        <w:tc>
          <w:tcPr>
            <w:tcW w:type="dxa" w:w="7160"/>
            <w:vAlign w:val="center"/>
          </w:tcPr>
          <w:p>
            <w:pPr>
              <w:spacing w:after="40"/>
            </w:pPr>
            <w:r>
              <w:rPr>
                <w:sz w:val="18"/>
              </w:rPr>
              <w:t>Law firm advising employers / HR managers in Chile</w:t>
            </w:r>
          </w:p>
        </w:tc>
      </w:tr>
      <w:tr>
        <w:tc>
          <w:tcPr>
            <w:tcW w:type="dxa" w:w="2200"/>
            <w:vAlign w:val="center"/>
          </w:tcPr>
          <w:p>
            <w:pPr>
              <w:spacing w:after="40"/>
            </w:pPr>
            <w:r>
              <w:rPr>
                <w:sz w:val="18"/>
              </w:rPr>
              <w:t>Technology</w:t>
            </w:r>
          </w:p>
        </w:tc>
        <w:tc>
          <w:tcPr>
            <w:tcW w:type="dxa" w:w="7160"/>
            <w:vAlign w:val="center"/>
          </w:tcPr>
          <w:p>
            <w:pPr>
              <w:spacing w:after="40"/>
            </w:pPr>
            <w:r>
              <w:rPr>
                <w:sz w:val="18"/>
              </w:rPr>
              <w:t>Python + Streamlit, modular calculation engines, Word report export</w:t>
            </w:r>
          </w:p>
        </w:tc>
      </w:tr>
      <w:tr>
        <w:tc>
          <w:tcPr>
            <w:tcW w:type="dxa" w:w="2200"/>
            <w:vAlign w:val="center"/>
          </w:tcPr>
          <w:p>
            <w:pPr>
              <w:spacing w:after="40"/>
            </w:pPr>
            <w:r>
              <w:rPr>
                <w:sz w:val="18"/>
              </w:rPr>
              <w:t>Core rule</w:t>
            </w:r>
          </w:p>
        </w:tc>
        <w:tc>
          <w:tcPr>
            <w:tcW w:type="dxa" w:w="7160"/>
            <w:vAlign w:val="center"/>
          </w:tcPr>
          <w:p>
            <w:pPr>
              <w:spacing w:after="40"/>
            </w:pPr>
            <w:r>
              <w:rPr>
                <w:sz w:val="18"/>
              </w:rPr>
              <w:t>One single user-facing program and menu; separate internal engines by case type</w:t>
            </w:r>
          </w:p>
        </w:tc>
      </w:tr>
      <w:tr>
        <w:tc>
          <w:tcPr>
            <w:tcW w:type="dxa" w:w="2200"/>
            <w:vAlign w:val="center"/>
          </w:tcPr>
          <w:p>
            <w:pPr>
              <w:spacing w:after="40"/>
            </w:pPr>
            <w:r>
              <w:rPr>
                <w:sz w:val="18"/>
              </w:rPr>
              <w:t>Implementation priority</w:t>
            </w:r>
          </w:p>
        </w:tc>
        <w:tc>
          <w:tcPr>
            <w:tcW w:type="dxa" w:w="7160"/>
            <w:vAlign w:val="center"/>
          </w:tcPr>
          <w:p>
            <w:pPr>
              <w:spacing w:after="40"/>
            </w:pPr>
            <w:r>
              <w:rPr>
                <w:sz w:val="18"/>
              </w:rPr>
              <w:t>Stage 1 private employee, Stage 2 honorarios, Stage 3 public sector and reports</w:t>
            </w:r>
          </w:p>
        </w:tc>
      </w:tr>
    </w:tbl>
    <w:p>
      <w:pPr>
        <w:pStyle w:val="Heading1"/>
      </w:pPr>
      <w:r>
        <w:t>1. Objective</w:t>
      </w:r>
    </w:p>
    <w:p>
      <w:r>
        <w:t>Build one unified web application for a law firm advising employers in Chile on employee termination, finiquito, honorarios termination, and public-sector contract termination. The user must experience one single program with one main menu. Internally, the code must remain modular so legal logic, tax treatment, vacation calculations, benefits, risk review, and report generation are reusable and testable.</w:t>
      </w:r>
    </w:p>
    <w:p>
      <w:pPr>
        <w:pStyle w:val="ListBullet"/>
      </w:pPr>
      <w:r>
        <w:t>Select the type of case from one menu.</w:t>
      </w:r>
    </w:p>
    <w:p>
      <w:pPr>
        <w:pStyle w:val="ListBullet"/>
      </w:pPr>
      <w:r>
        <w:t>Enter all relevant employee, contractor, or public-sector data.</w:t>
      </w:r>
    </w:p>
    <w:p>
      <w:pPr>
        <w:pStyle w:val="ListBullet"/>
      </w:pPr>
      <w:r>
        <w:t>Calculate gross termination amounts, deductions, tax treatment, and net payable amount.</w:t>
      </w:r>
    </w:p>
    <w:p>
      <w:pPr>
        <w:pStyle w:val="ListBullet"/>
      </w:pPr>
      <w:r>
        <w:t>Include vacation, AFP/health/unemployment contribution checks, reimbursements, bonuses, commissions, and other benefits.</w:t>
      </w:r>
    </w:p>
    <w:p>
      <w:pPr>
        <w:pStyle w:val="ListBullet"/>
      </w:pPr>
      <w:r>
        <w:t>Produce a structured report for HR/lawyer review with legal risk flags and assumptions.</w:t>
      </w:r>
    </w:p>
    <w:p>
      <w:pPr>
        <w:pStyle w:val="Heading1"/>
      </w:pPr>
      <w:r>
        <w:t>2. Single Application Rule</w:t>
      </w:r>
    </w:p>
    <w:p>
      <w:r>
        <w:t>The application must run as one program:</w:t>
      </w:r>
    </w:p>
    <w:p>
      <w:pPr>
        <w:spacing w:after="160"/>
        <w:ind w:left="360"/>
      </w:pPr>
      <w:r>
        <w:rPr>
          <w:rFonts w:ascii="Consolas" w:hAnsi="Consolas"/>
          <w:color w:val="202020"/>
          <w:sz w:val="18"/>
        </w:rPr>
        <w:t>streamlit run app.py</w:t>
      </w:r>
    </w:p>
    <w:p>
      <w:r>
        <w:t>Do not maintain separate user-facing launchers such as:</w:t>
      </w:r>
    </w:p>
    <w:p>
      <w:pPr>
        <w:spacing w:after="160"/>
        <w:ind w:left="360"/>
      </w:pPr>
      <w:r>
        <w:rPr>
          <w:rFonts w:ascii="Consolas" w:hAnsi="Consolas"/>
          <w:color w:val="202020"/>
          <w:sz w:val="18"/>
        </w:rPr>
        <w:t>run-finiquito</w:t>
        <w:br/>
        <w:t>run-honorarios</w:t>
        <w:br/>
        <w:t>run-public-sector</w:t>
      </w:r>
    </w:p>
    <w:p>
      <w:r>
        <w:t>The previous separate apps are replaced by one Streamlit sidebar menu. Existing code can be preserved as modules, but it must be imported and executed from the unified shell.</w:t>
      </w:r>
    </w:p>
    <w:p>
      <w:pPr>
        <w:pStyle w:val="Heading1"/>
      </w:pPr>
      <w:r>
        <w:t>3. Recommended Folder Structure</w:t>
      </w:r>
    </w:p>
    <w:p>
      <w:pPr>
        <w:spacing w:after="160"/>
        <w:ind w:left="360"/>
      </w:pPr>
      <w:r>
        <w:rPr>
          <w:rFonts w:ascii="Consolas" w:hAnsi="Consolas"/>
          <w:color w:val="202020"/>
          <w:sz w:val="18"/>
        </w:rPr>
        <w:t>labor_finiquito_engine/</w:t>
        <w:br/>
        <w:t xml:space="preserve">  app.py</w:t>
        <w:br/>
        <w:t xml:space="preserve">  requirements.txt</w:t>
        <w:br/>
        <w:t xml:space="preserve">  README.md</w:t>
        <w:br/>
        <w:t xml:space="preserve">  apps/</w:t>
        <w:br/>
        <w:t xml:space="preserve">    __init__.py</w:t>
        <w:br/>
        <w:t xml:space="preserve">    private_employee_app.py</w:t>
        <w:br/>
        <w:t xml:space="preserve">    honorarios_app.py</w:t>
        <w:br/>
        <w:t xml:space="preserve">    public_sector_app.py</w:t>
        <w:br/>
        <w:t xml:space="preserve">    reports_app.py</w:t>
        <w:br/>
        <w:t xml:space="preserve">  core/</w:t>
        <w:br/>
        <w:t xml:space="preserve">    __init__.py</w:t>
        <w:br/>
        <w:t xml:space="preserve">    private_employee_engine.py</w:t>
        <w:br/>
        <w:t xml:space="preserve">    honorarios_engine.py</w:t>
        <w:br/>
        <w:t xml:space="preserve">    public_sector_engine.py</w:t>
        <w:br/>
        <w:t xml:space="preserve">    tax_engine.py</w:t>
        <w:br/>
        <w:t xml:space="preserve">    vacation_engine.py</w:t>
        <w:br/>
        <w:t xml:space="preserve">    benefits_engine.py</w:t>
        <w:br/>
        <w:t xml:space="preserve">    risk_engine.py</w:t>
        <w:br/>
        <w:t xml:space="preserve">    report_engine.py</w:t>
        <w:br/>
        <w:t xml:space="preserve">  data/</w:t>
        <w:br/>
        <w:t xml:space="preserve">    legal_parameters.yaml</w:t>
        <w:br/>
        <w:t xml:space="preserve">    tax_parameters.yaml</w:t>
        <w:br/>
        <w:t xml:space="preserve">    causes_termination.yaml</w:t>
        <w:br/>
        <w:t xml:space="preserve">    templates/</w:t>
        <w:br/>
        <w:t xml:space="preserve">      finiquito_template.docx</w:t>
        <w:br/>
        <w:t xml:space="preserve">      honorarios_report_template.docx</w:t>
        <w:br/>
        <w:t xml:space="preserve">      public_sector_report_template.docx</w:t>
        <w:br/>
        <w:t xml:space="preserve">  outputs/</w:t>
        <w:br/>
        <w:t xml:space="preserve">    generated_reports/</w:t>
      </w:r>
    </w:p>
    <w:p>
      <w:pPr>
        <w:pStyle w:val="Heading1"/>
      </w:pPr>
      <w:r>
        <w:t>4. Main Menu Design</w:t>
      </w:r>
    </w:p>
    <w:p>
      <w:r>
        <w:t>Implement a single sidebar menu in app.py. All modules must expose one run function and receive/return structured dictionaries, not raw UI globals.</w:t>
      </w:r>
    </w:p>
    <w:p>
      <w:pPr>
        <w:spacing w:after="160"/>
        <w:ind w:left="360"/>
      </w:pPr>
      <w:r>
        <w:rPr>
          <w:rFonts w:ascii="Consolas" w:hAnsi="Consolas"/>
          <w:color w:val="202020"/>
          <w:sz w:val="18"/>
        </w:rPr>
        <w:t>import streamlit as st</w:t>
        <w:br/>
        <w:br/>
        <w:t>from apps.private_employee_app import run_private_employee_app</w:t>
        <w:br/>
        <w:t>from apps.honorarios_app import run_honorarios_app</w:t>
        <w:br/>
        <w:t>from apps.public_sector_app import run_public_sector_app</w:t>
        <w:br/>
        <w:t>from apps.reports_app import run_reports_app</w:t>
        <w:br/>
        <w:br/>
        <w:t>st.set_page_config(page_title='Chile Labor Termination Engine', layout='wide')</w:t>
        <w:br/>
        <w:t>st.sidebar.title('Menú principal')</w:t>
        <w:br/>
        <w:br/>
        <w:t>module = st.sidebar.radio(</w:t>
        <w:br/>
        <w:t xml:space="preserve">    'Seleccione tipo de caso',</w:t>
        <w:br/>
        <w:t xml:space="preserve">    ['Trabajador empresa privada', 'Contrato a honorarios', 'Sector público', 'Reportes generados']</w:t>
        <w:br/>
        <w:t>)</w:t>
        <w:br/>
        <w:br/>
        <w:t>if module == 'Trabajador empresa privada':</w:t>
        <w:br/>
        <w:t xml:space="preserve">    run_private_employee_app()</w:t>
        <w:br/>
        <w:t>elif module == 'Contrato a honorarios':</w:t>
        <w:br/>
        <w:t xml:space="preserve">    run_honorarios_app()</w:t>
        <w:br/>
        <w:t>elif module == 'Sector público':</w:t>
        <w:br/>
        <w:t xml:space="preserve">    run_public_sector_app()</w:t>
        <w:br/>
        <w:t>elif module == 'Reportes generados':</w:t>
        <w:br/>
        <w:t xml:space="preserve">    run_reports_app()</w:t>
      </w:r>
    </w:p>
    <w:p>
      <w:pPr>
        <w:pStyle w:val="Heading1"/>
      </w:pPr>
      <w:r>
        <w:t>5. Case Type A: Private-Sector Employee</w:t>
      </w:r>
    </w:p>
    <w:p>
      <w:r>
        <w:t>Use for employees governed mainly by the Chilean Labor Code. This is the Stage 1 implementation priority.</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100"/>
        <w:gridCol w:w="7260"/>
      </w:tblGrid>
      <w:tr>
        <w:tc>
          <w:tcPr>
            <w:tcW w:type="dxa" w:w="2100"/>
            <w:shd w:fill="E8EEF5"/>
            <w:vAlign w:val="center"/>
          </w:tcPr>
          <w:p>
            <w:pPr>
              <w:spacing w:after="40"/>
            </w:pPr>
            <w:r>
              <w:rPr>
                <w:b/>
                <w:sz w:val="18"/>
              </w:rPr>
              <w:t>Input group</w:t>
            </w:r>
          </w:p>
        </w:tc>
        <w:tc>
          <w:tcPr>
            <w:tcW w:type="dxa" w:w="7260"/>
            <w:shd w:fill="E8EEF5"/>
            <w:vAlign w:val="center"/>
          </w:tcPr>
          <w:p>
            <w:pPr>
              <w:spacing w:after="40"/>
            </w:pPr>
            <w:r>
              <w:rPr>
                <w:b/>
                <w:sz w:val="18"/>
              </w:rPr>
              <w:t>Required fields</w:t>
            </w:r>
          </w:p>
        </w:tc>
      </w:tr>
      <w:tr>
        <w:tc>
          <w:tcPr>
            <w:tcW w:type="dxa" w:w="2100"/>
            <w:vAlign w:val="center"/>
          </w:tcPr>
          <w:p>
            <w:pPr>
              <w:spacing w:after="40"/>
            </w:pPr>
            <w:r>
              <w:rPr>
                <w:sz w:val="18"/>
              </w:rPr>
              <w:t>Employee/employer</w:t>
            </w:r>
          </w:p>
        </w:tc>
        <w:tc>
          <w:tcPr>
            <w:tcW w:type="dxa" w:w="7260"/>
            <w:vAlign w:val="center"/>
          </w:tcPr>
          <w:p>
            <w:pPr>
              <w:spacing w:after="40"/>
            </w:pPr>
            <w:r>
              <w:rPr>
                <w:sz w:val="18"/>
              </w:rPr>
              <w:t>Employee name, RUT, employer name, employer RUT, position, start date, termination date.</w:t>
            </w:r>
          </w:p>
        </w:tc>
      </w:tr>
      <w:tr>
        <w:tc>
          <w:tcPr>
            <w:tcW w:type="dxa" w:w="2100"/>
            <w:vAlign w:val="center"/>
          </w:tcPr>
          <w:p>
            <w:pPr>
              <w:spacing w:after="40"/>
            </w:pPr>
            <w:r>
              <w:rPr>
                <w:sz w:val="18"/>
              </w:rPr>
              <w:t>Contract</w:t>
            </w:r>
          </w:p>
        </w:tc>
        <w:tc>
          <w:tcPr>
            <w:tcW w:type="dxa" w:w="7260"/>
            <w:vAlign w:val="center"/>
          </w:tcPr>
          <w:p>
            <w:pPr>
              <w:spacing w:after="40"/>
            </w:pPr>
            <w:r>
              <w:rPr>
                <w:sz w:val="18"/>
              </w:rPr>
              <w:t>Indefinite, fixed term, specific task/project, full-time/part-time, written contract status.</w:t>
            </w:r>
          </w:p>
        </w:tc>
      </w:tr>
      <w:tr>
        <w:tc>
          <w:tcPr>
            <w:tcW w:type="dxa" w:w="2100"/>
            <w:vAlign w:val="center"/>
          </w:tcPr>
          <w:p>
            <w:pPr>
              <w:spacing w:after="40"/>
            </w:pPr>
            <w:r>
              <w:rPr>
                <w:sz w:val="18"/>
              </w:rPr>
              <w:t>Remuneration</w:t>
            </w:r>
          </w:p>
        </w:tc>
        <w:tc>
          <w:tcPr>
            <w:tcW w:type="dxa" w:w="7260"/>
            <w:vAlign w:val="center"/>
          </w:tcPr>
          <w:p>
            <w:pPr>
              <w:spacing w:after="40"/>
            </w:pPr>
            <w:r>
              <w:rPr>
                <w:sz w:val="18"/>
              </w:rPr>
              <w:t>Monthly gross salary, last 3 salaries, variable pay, commissions, bonuses, average remuneration base.</w:t>
            </w:r>
          </w:p>
        </w:tc>
      </w:tr>
      <w:tr>
        <w:tc>
          <w:tcPr>
            <w:tcW w:type="dxa" w:w="2100"/>
            <w:vAlign w:val="center"/>
          </w:tcPr>
          <w:p>
            <w:pPr>
              <w:spacing w:after="40"/>
            </w:pPr>
            <w:r>
              <w:rPr>
                <w:sz w:val="18"/>
              </w:rPr>
              <w:t>Termination</w:t>
            </w:r>
          </w:p>
        </w:tc>
        <w:tc>
          <w:tcPr>
            <w:tcW w:type="dxa" w:w="7260"/>
            <w:vAlign w:val="center"/>
          </w:tcPr>
          <w:p>
            <w:pPr>
              <w:spacing w:after="40"/>
            </w:pPr>
            <w:r>
              <w:rPr>
                <w:sz w:val="18"/>
              </w:rPr>
              <w:t>Termination cause, legal basis/article, notice given, notice date, worked notice period, business-needs cause, disciplinary cause, resignation, mutual agreement.</w:t>
            </w:r>
          </w:p>
        </w:tc>
      </w:tr>
      <w:tr>
        <w:tc>
          <w:tcPr>
            <w:tcW w:type="dxa" w:w="2100"/>
            <w:vAlign w:val="center"/>
          </w:tcPr>
          <w:p>
            <w:pPr>
              <w:spacing w:after="40"/>
            </w:pPr>
            <w:r>
              <w:rPr>
                <w:sz w:val="18"/>
              </w:rPr>
              <w:t>Pending amounts</w:t>
            </w:r>
          </w:p>
        </w:tc>
        <w:tc>
          <w:tcPr>
            <w:tcW w:type="dxa" w:w="7260"/>
            <w:vAlign w:val="center"/>
          </w:tcPr>
          <w:p>
            <w:pPr>
              <w:spacing w:after="40"/>
            </w:pPr>
            <w:r>
              <w:rPr>
                <w:sz w:val="18"/>
              </w:rPr>
              <w:t>Pending salary, proportional salary, pending bonuses, proportional bonuses, commissions, travel expenses, business expenses, other approved payments.</w:t>
            </w:r>
          </w:p>
        </w:tc>
      </w:tr>
      <w:tr>
        <w:tc>
          <w:tcPr>
            <w:tcW w:type="dxa" w:w="2100"/>
            <w:vAlign w:val="center"/>
          </w:tcPr>
          <w:p>
            <w:pPr>
              <w:spacing w:after="40"/>
            </w:pPr>
            <w:r>
              <w:rPr>
                <w:sz w:val="18"/>
              </w:rPr>
              <w:t>Vacation</w:t>
            </w:r>
          </w:p>
        </w:tc>
        <w:tc>
          <w:tcPr>
            <w:tcW w:type="dxa" w:w="7260"/>
            <w:vAlign w:val="center"/>
          </w:tcPr>
          <w:p>
            <w:pPr>
              <w:spacing w:after="40"/>
            </w:pPr>
            <w:r>
              <w:rPr>
                <w:sz w:val="18"/>
              </w:rPr>
              <w:t>Accrued days, used days, progressive days, pending days, proportional vacation days.</w:t>
            </w:r>
          </w:p>
        </w:tc>
      </w:tr>
      <w:tr>
        <w:tc>
          <w:tcPr>
            <w:tcW w:type="dxa" w:w="2100"/>
            <w:vAlign w:val="center"/>
          </w:tcPr>
          <w:p>
            <w:pPr>
              <w:spacing w:after="40"/>
            </w:pPr>
            <w:r>
              <w:rPr>
                <w:sz w:val="18"/>
              </w:rPr>
              <w:t>Social security</w:t>
            </w:r>
          </w:p>
        </w:tc>
        <w:tc>
          <w:tcPr>
            <w:tcW w:type="dxa" w:w="7260"/>
            <w:vAlign w:val="center"/>
          </w:tcPr>
          <w:p>
            <w:pPr>
              <w:spacing w:after="40"/>
            </w:pPr>
            <w:r>
              <w:rPr>
                <w:sz w:val="18"/>
              </w:rPr>
              <w:t>AFP, health, unemployment insurance, mutual insurance status, unpaid contribution flag.</w:t>
            </w:r>
          </w:p>
        </w:tc>
      </w:tr>
      <w:tr>
        <w:tc>
          <w:tcPr>
            <w:tcW w:type="dxa" w:w="2100"/>
            <w:vAlign w:val="center"/>
          </w:tcPr>
          <w:p>
            <w:pPr>
              <w:spacing w:after="40"/>
            </w:pPr>
            <w:r>
              <w:rPr>
                <w:sz w:val="18"/>
              </w:rPr>
              <w:t>Tax</w:t>
            </w:r>
          </w:p>
        </w:tc>
        <w:tc>
          <w:tcPr>
            <w:tcW w:type="dxa" w:w="7260"/>
            <w:vAlign w:val="center"/>
          </w:tcPr>
          <w:p>
            <w:pPr>
              <w:spacing w:after="40"/>
            </w:pPr>
            <w:r>
              <w:rPr>
                <w:sz w:val="18"/>
              </w:rPr>
              <w:t>Taxable and non-taxable concepts, withholding, net amount payable.</w:t>
            </w:r>
          </w:p>
        </w:tc>
      </w:tr>
    </w:tbl>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300"/>
        <w:gridCol w:w="7060"/>
      </w:tblGrid>
      <w:tr>
        <w:tc>
          <w:tcPr>
            <w:tcW w:type="dxa" w:w="2300"/>
            <w:shd w:fill="E8EEF5"/>
            <w:vAlign w:val="center"/>
          </w:tcPr>
          <w:p>
            <w:pPr>
              <w:spacing w:after="40"/>
            </w:pPr>
            <w:r>
              <w:rPr>
                <w:b/>
                <w:sz w:val="18"/>
              </w:rPr>
              <w:t>Calculation</w:t>
            </w:r>
          </w:p>
        </w:tc>
        <w:tc>
          <w:tcPr>
            <w:tcW w:type="dxa" w:w="7060"/>
            <w:shd w:fill="E8EEF5"/>
            <w:vAlign w:val="center"/>
          </w:tcPr>
          <w:p>
            <w:pPr>
              <w:spacing w:after="40"/>
            </w:pPr>
            <w:r>
              <w:rPr>
                <w:b/>
                <w:sz w:val="18"/>
              </w:rPr>
              <w:t>Description</w:t>
            </w:r>
          </w:p>
        </w:tc>
      </w:tr>
      <w:tr>
        <w:tc>
          <w:tcPr>
            <w:tcW w:type="dxa" w:w="2300"/>
            <w:vAlign w:val="center"/>
          </w:tcPr>
          <w:p>
            <w:pPr>
              <w:spacing w:after="40"/>
            </w:pPr>
            <w:r>
              <w:rPr>
                <w:sz w:val="18"/>
              </w:rPr>
              <w:t>Pending remuneration</w:t>
            </w:r>
          </w:p>
        </w:tc>
        <w:tc>
          <w:tcPr>
            <w:tcW w:type="dxa" w:w="7060"/>
            <w:vAlign w:val="center"/>
          </w:tcPr>
          <w:p>
            <w:pPr>
              <w:spacing w:after="40"/>
            </w:pPr>
            <w:r>
              <w:rPr>
                <w:sz w:val="18"/>
              </w:rPr>
              <w:t>Salary and variable remuneration owed until termination date.</w:t>
            </w:r>
          </w:p>
        </w:tc>
      </w:tr>
      <w:tr>
        <w:tc>
          <w:tcPr>
            <w:tcW w:type="dxa" w:w="2300"/>
            <w:vAlign w:val="center"/>
          </w:tcPr>
          <w:p>
            <w:pPr>
              <w:spacing w:after="40"/>
            </w:pPr>
            <w:r>
              <w:rPr>
                <w:sz w:val="18"/>
              </w:rPr>
              <w:t>Substitute prior notice</w:t>
            </w:r>
          </w:p>
        </w:tc>
        <w:tc>
          <w:tcPr>
            <w:tcW w:type="dxa" w:w="7060"/>
            <w:vAlign w:val="center"/>
          </w:tcPr>
          <w:p>
            <w:pPr>
              <w:spacing w:after="40"/>
            </w:pPr>
            <w:r>
              <w:rPr>
                <w:sz w:val="18"/>
              </w:rPr>
              <w:t>Calculate if notice was not properly given or worked.</w:t>
            </w:r>
          </w:p>
        </w:tc>
      </w:tr>
      <w:tr>
        <w:tc>
          <w:tcPr>
            <w:tcW w:type="dxa" w:w="2300"/>
            <w:vAlign w:val="center"/>
          </w:tcPr>
          <w:p>
            <w:pPr>
              <w:spacing w:after="40"/>
            </w:pPr>
            <w:r>
              <w:rPr>
                <w:sz w:val="18"/>
              </w:rPr>
              <w:t>Years-of-service indemnity</w:t>
            </w:r>
          </w:p>
        </w:tc>
        <w:tc>
          <w:tcPr>
            <w:tcW w:type="dxa" w:w="7060"/>
            <w:vAlign w:val="center"/>
          </w:tcPr>
          <w:p>
            <w:pPr>
              <w:spacing w:after="40"/>
            </w:pPr>
            <w:r>
              <w:rPr>
                <w:sz w:val="18"/>
              </w:rPr>
              <w:t>Calculate based on applicable cause, years, salary base, and legal caps.</w:t>
            </w:r>
          </w:p>
        </w:tc>
      </w:tr>
      <w:tr>
        <w:tc>
          <w:tcPr>
            <w:tcW w:type="dxa" w:w="2300"/>
            <w:vAlign w:val="center"/>
          </w:tcPr>
          <w:p>
            <w:pPr>
              <w:spacing w:after="40"/>
            </w:pPr>
            <w:r>
              <w:rPr>
                <w:sz w:val="18"/>
              </w:rPr>
              <w:t>Vacation</w:t>
            </w:r>
          </w:p>
        </w:tc>
        <w:tc>
          <w:tcPr>
            <w:tcW w:type="dxa" w:w="7060"/>
            <w:vAlign w:val="center"/>
          </w:tcPr>
          <w:p>
            <w:pPr>
              <w:spacing w:after="40"/>
            </w:pPr>
            <w:r>
              <w:rPr>
                <w:sz w:val="18"/>
              </w:rPr>
              <w:t>Pending, proportional, and progressive vacation if applicable.</w:t>
            </w:r>
          </w:p>
        </w:tc>
      </w:tr>
      <w:tr>
        <w:tc>
          <w:tcPr>
            <w:tcW w:type="dxa" w:w="2300"/>
            <w:vAlign w:val="center"/>
          </w:tcPr>
          <w:p>
            <w:pPr>
              <w:spacing w:after="40"/>
            </w:pPr>
            <w:r>
              <w:rPr>
                <w:sz w:val="18"/>
              </w:rPr>
              <w:t>Variable pay</w:t>
            </w:r>
          </w:p>
        </w:tc>
        <w:tc>
          <w:tcPr>
            <w:tcW w:type="dxa" w:w="7060"/>
            <w:vAlign w:val="center"/>
          </w:tcPr>
          <w:p>
            <w:pPr>
              <w:spacing w:after="40"/>
            </w:pPr>
            <w:r>
              <w:rPr>
                <w:sz w:val="18"/>
              </w:rPr>
              <w:t>Pending commissions, bonuses, proportional bonuses, and other remuneration items.</w:t>
            </w:r>
          </w:p>
        </w:tc>
      </w:tr>
      <w:tr>
        <w:tc>
          <w:tcPr>
            <w:tcW w:type="dxa" w:w="2300"/>
            <w:vAlign w:val="center"/>
          </w:tcPr>
          <w:p>
            <w:pPr>
              <w:spacing w:after="40"/>
            </w:pPr>
            <w:r>
              <w:rPr>
                <w:sz w:val="18"/>
              </w:rPr>
              <w:t>Reimbursements</w:t>
            </w:r>
          </w:p>
        </w:tc>
        <w:tc>
          <w:tcPr>
            <w:tcW w:type="dxa" w:w="7060"/>
            <w:vAlign w:val="center"/>
          </w:tcPr>
          <w:p>
            <w:pPr>
              <w:spacing w:after="40"/>
            </w:pPr>
            <w:r>
              <w:rPr>
                <w:sz w:val="18"/>
              </w:rPr>
              <w:t>Travel and business expenses that are not remuneration if properly documented.</w:t>
            </w:r>
          </w:p>
        </w:tc>
      </w:tr>
      <w:tr>
        <w:tc>
          <w:tcPr>
            <w:tcW w:type="dxa" w:w="2300"/>
            <w:vAlign w:val="center"/>
          </w:tcPr>
          <w:p>
            <w:pPr>
              <w:spacing w:after="40"/>
            </w:pPr>
            <w:r>
              <w:rPr>
                <w:sz w:val="18"/>
              </w:rPr>
              <w:t>Contributions</w:t>
            </w:r>
          </w:p>
        </w:tc>
        <w:tc>
          <w:tcPr>
            <w:tcW w:type="dxa" w:w="7060"/>
            <w:vAlign w:val="center"/>
          </w:tcPr>
          <w:p>
            <w:pPr>
              <w:spacing w:after="40"/>
            </w:pPr>
            <w:r>
              <w:rPr>
                <w:sz w:val="18"/>
              </w:rPr>
              <w:t>Flag unpaid AFP, health, unemployment, or mutual contributions.</w:t>
            </w:r>
          </w:p>
        </w:tc>
      </w:tr>
      <w:tr>
        <w:tc>
          <w:tcPr>
            <w:tcW w:type="dxa" w:w="2300"/>
            <w:vAlign w:val="center"/>
          </w:tcPr>
          <w:p>
            <w:pPr>
              <w:spacing w:after="40"/>
            </w:pPr>
            <w:r>
              <w:rPr>
                <w:sz w:val="18"/>
              </w:rPr>
              <w:t>Tax and net amount</w:t>
            </w:r>
          </w:p>
        </w:tc>
        <w:tc>
          <w:tcPr>
            <w:tcW w:type="dxa" w:w="7060"/>
            <w:vAlign w:val="center"/>
          </w:tcPr>
          <w:p>
            <w:pPr>
              <w:spacing w:after="40"/>
            </w:pPr>
            <w:r>
              <w:rPr>
                <w:sz w:val="18"/>
              </w:rPr>
              <w:t>Classify taxable/non-taxable items and calculate withholding and net payable.</w:t>
            </w:r>
          </w:p>
        </w:tc>
      </w:tr>
    </w:tbl>
    <w:p>
      <w:pPr>
        <w:pStyle w:val="Heading1"/>
      </w:pPr>
      <w:r>
        <w:t>6. Case Type B: Honorarios / Independent Contractor</w:t>
      </w:r>
    </w:p>
    <w:p>
      <w:r>
        <w:t>Use for individuals providing services through boletas de honorarios or civil/commercial service contracts. This module must calculate contractual amounts and identify labor reclassification risk.</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100"/>
        <w:gridCol w:w="7260"/>
      </w:tblGrid>
      <w:tr>
        <w:tc>
          <w:tcPr>
            <w:tcW w:type="dxa" w:w="2100"/>
            <w:shd w:fill="E8EEF5"/>
            <w:vAlign w:val="center"/>
          </w:tcPr>
          <w:p>
            <w:pPr>
              <w:spacing w:after="40"/>
            </w:pPr>
            <w:r>
              <w:rPr>
                <w:b/>
                <w:sz w:val="18"/>
              </w:rPr>
              <w:t>Input group</w:t>
            </w:r>
          </w:p>
        </w:tc>
        <w:tc>
          <w:tcPr>
            <w:tcW w:type="dxa" w:w="7260"/>
            <w:shd w:fill="E8EEF5"/>
            <w:vAlign w:val="center"/>
          </w:tcPr>
          <w:p>
            <w:pPr>
              <w:spacing w:after="40"/>
            </w:pPr>
            <w:r>
              <w:rPr>
                <w:b/>
                <w:sz w:val="18"/>
              </w:rPr>
              <w:t>Required fields</w:t>
            </w:r>
          </w:p>
        </w:tc>
      </w:tr>
      <w:tr>
        <w:tc>
          <w:tcPr>
            <w:tcW w:type="dxa" w:w="2100"/>
            <w:vAlign w:val="center"/>
          </w:tcPr>
          <w:p>
            <w:pPr>
              <w:spacing w:after="40"/>
            </w:pPr>
            <w:r>
              <w:rPr>
                <w:sz w:val="18"/>
              </w:rPr>
              <w:t>Contract</w:t>
            </w:r>
          </w:p>
        </w:tc>
        <w:tc>
          <w:tcPr>
            <w:tcW w:type="dxa" w:w="7260"/>
            <w:vAlign w:val="center"/>
          </w:tcPr>
          <w:p>
            <w:pPr>
              <w:spacing w:after="40"/>
            </w:pPr>
            <w:r>
              <w:rPr>
                <w:sz w:val="18"/>
              </w:rPr>
              <w:t>Contractor name/RUT, company name, start/end dates, written contract, termination clause, notice clause, early termination penalty.</w:t>
            </w:r>
          </w:p>
        </w:tc>
      </w:tr>
      <w:tr>
        <w:tc>
          <w:tcPr>
            <w:tcW w:type="dxa" w:w="2100"/>
            <w:vAlign w:val="center"/>
          </w:tcPr>
          <w:p>
            <w:pPr>
              <w:spacing w:after="40"/>
            </w:pPr>
            <w:r>
              <w:rPr>
                <w:sz w:val="18"/>
              </w:rPr>
              <w:t>Fees</w:t>
            </w:r>
          </w:p>
        </w:tc>
        <w:tc>
          <w:tcPr>
            <w:tcW w:type="dxa" w:w="7260"/>
            <w:vAlign w:val="center"/>
          </w:tcPr>
          <w:p>
            <w:pPr>
              <w:spacing w:after="40"/>
            </w:pPr>
            <w:r>
              <w:rPr>
                <w:sz w:val="18"/>
              </w:rPr>
              <w:t>Monthly fee, variable fee, payment frequency, pending boletas/invoices, services rendered, reimbursable expenses.</w:t>
            </w:r>
          </w:p>
        </w:tc>
      </w:tr>
      <w:tr>
        <w:tc>
          <w:tcPr>
            <w:tcW w:type="dxa" w:w="2100"/>
            <w:vAlign w:val="center"/>
          </w:tcPr>
          <w:p>
            <w:pPr>
              <w:spacing w:after="40"/>
            </w:pPr>
            <w:r>
              <w:rPr>
                <w:sz w:val="18"/>
              </w:rPr>
              <w:t>Tax</w:t>
            </w:r>
          </w:p>
        </w:tc>
        <w:tc>
          <w:tcPr>
            <w:tcW w:type="dxa" w:w="7260"/>
            <w:vAlign w:val="center"/>
          </w:tcPr>
          <w:p>
            <w:pPr>
              <w:spacing w:after="40"/>
            </w:pPr>
            <w:r>
              <w:rPr>
                <w:sz w:val="18"/>
              </w:rPr>
              <w:t>Withholding treatment, gross fee, withholding percentage, net payable.</w:t>
            </w:r>
          </w:p>
        </w:tc>
      </w:tr>
      <w:tr>
        <w:tc>
          <w:tcPr>
            <w:tcW w:type="dxa" w:w="2100"/>
            <w:vAlign w:val="center"/>
          </w:tcPr>
          <w:p>
            <w:pPr>
              <w:spacing w:after="40"/>
            </w:pPr>
            <w:r>
              <w:rPr>
                <w:sz w:val="18"/>
              </w:rPr>
              <w:t>Reclassification risk</w:t>
            </w:r>
          </w:p>
        </w:tc>
        <w:tc>
          <w:tcPr>
            <w:tcW w:type="dxa" w:w="7260"/>
            <w:vAlign w:val="center"/>
          </w:tcPr>
          <w:p>
            <w:pPr>
              <w:spacing w:after="40"/>
            </w:pPr>
            <w:r>
              <w:rPr>
                <w:sz w:val="18"/>
              </w:rPr>
              <w:t>Fixed schedule, subordination, dependency, reporting line, company email/tools, exclusivity, vacation-like benefits, monthly fixed payment.</w:t>
            </w:r>
          </w:p>
        </w:tc>
      </w:tr>
    </w:tbl>
    <w:p>
      <w:r>
        <w:t>Risk levels must be Low, Medium, High, or Critical. High and Critical cases must include a warning that the relationship could be challenged as an employment relationship if subordination, dependency, fixed schedule, direct instructions, exclusivity, or fixed monthly payment exist.</w:t>
      </w:r>
    </w:p>
    <w:p>
      <w:pPr>
        <w:pStyle w:val="Heading1"/>
      </w:pPr>
      <w:r>
        <w:t>7. Case Type C: Public Sector</w:t>
      </w:r>
    </w:p>
    <w:p>
      <w:r>
        <w:t>Use for public servants, contrata, planta, public-sector employees under the Labor Code, public honorarios, municipalities, autonomous entities, and public companies.</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100"/>
        <w:gridCol w:w="7260"/>
      </w:tblGrid>
      <w:tr>
        <w:tc>
          <w:tcPr>
            <w:tcW w:type="dxa" w:w="2100"/>
            <w:shd w:fill="E8EEF5"/>
            <w:vAlign w:val="center"/>
          </w:tcPr>
          <w:p>
            <w:pPr>
              <w:spacing w:after="40"/>
            </w:pPr>
            <w:r>
              <w:rPr>
                <w:b/>
                <w:sz w:val="18"/>
              </w:rPr>
              <w:t>Input group</w:t>
            </w:r>
          </w:p>
        </w:tc>
        <w:tc>
          <w:tcPr>
            <w:tcW w:type="dxa" w:w="7260"/>
            <w:shd w:fill="E8EEF5"/>
            <w:vAlign w:val="center"/>
          </w:tcPr>
          <w:p>
            <w:pPr>
              <w:spacing w:after="40"/>
            </w:pPr>
            <w:r>
              <w:rPr>
                <w:b/>
                <w:sz w:val="18"/>
              </w:rPr>
              <w:t>Required fields</w:t>
            </w:r>
          </w:p>
        </w:tc>
      </w:tr>
      <w:tr>
        <w:tc>
          <w:tcPr>
            <w:tcW w:type="dxa" w:w="2100"/>
            <w:vAlign w:val="center"/>
          </w:tcPr>
          <w:p>
            <w:pPr>
              <w:spacing w:after="40"/>
            </w:pPr>
            <w:r>
              <w:rPr>
                <w:sz w:val="18"/>
              </w:rPr>
              <w:t>Entity</w:t>
            </w:r>
          </w:p>
        </w:tc>
        <w:tc>
          <w:tcPr>
            <w:tcW w:type="dxa" w:w="7260"/>
            <w:vAlign w:val="center"/>
          </w:tcPr>
          <w:p>
            <w:pPr>
              <w:spacing w:after="40"/>
            </w:pPr>
            <w:r>
              <w:rPr>
                <w:sz w:val="18"/>
              </w:rPr>
              <w:t>Entity name, entity type, central government/municipality/public company/autonomous body.</w:t>
            </w:r>
          </w:p>
        </w:tc>
      </w:tr>
      <w:tr>
        <w:tc>
          <w:tcPr>
            <w:tcW w:type="dxa" w:w="2100"/>
            <w:vAlign w:val="center"/>
          </w:tcPr>
          <w:p>
            <w:pPr>
              <w:spacing w:after="40"/>
            </w:pPr>
            <w:r>
              <w:rPr>
                <w:sz w:val="18"/>
              </w:rPr>
              <w:t>Legal regime</w:t>
            </w:r>
          </w:p>
        </w:tc>
        <w:tc>
          <w:tcPr>
            <w:tcW w:type="dxa" w:w="7260"/>
            <w:vAlign w:val="center"/>
          </w:tcPr>
          <w:p>
            <w:pPr>
              <w:spacing w:after="40"/>
            </w:pPr>
            <w:r>
              <w:rPr>
                <w:sz w:val="18"/>
              </w:rPr>
              <w:t>Estatuto Administrativo, Estatuto Municipal, Código del Trabajo, contrata, planta, honorarios, special statute.</w:t>
            </w:r>
          </w:p>
        </w:tc>
      </w:tr>
      <w:tr>
        <w:tc>
          <w:tcPr>
            <w:tcW w:type="dxa" w:w="2100"/>
            <w:vAlign w:val="center"/>
          </w:tcPr>
          <w:p>
            <w:pPr>
              <w:spacing w:after="40"/>
            </w:pPr>
            <w:r>
              <w:rPr>
                <w:sz w:val="18"/>
              </w:rPr>
              <w:t>Person</w:t>
            </w:r>
          </w:p>
        </w:tc>
        <w:tc>
          <w:tcPr>
            <w:tcW w:type="dxa" w:w="7260"/>
            <w:vAlign w:val="center"/>
          </w:tcPr>
          <w:p>
            <w:pPr>
              <w:spacing w:after="40"/>
            </w:pPr>
            <w:r>
              <w:rPr>
                <w:sz w:val="18"/>
              </w:rPr>
              <w:t>Name, RUT, role, start/end date, remuneration, grade/scale, renewal history, administrative resolutions.</w:t>
            </w:r>
          </w:p>
        </w:tc>
      </w:tr>
      <w:tr>
        <w:tc>
          <w:tcPr>
            <w:tcW w:type="dxa" w:w="2100"/>
            <w:vAlign w:val="center"/>
          </w:tcPr>
          <w:p>
            <w:pPr>
              <w:spacing w:after="40"/>
            </w:pPr>
            <w:r>
              <w:rPr>
                <w:sz w:val="18"/>
              </w:rPr>
              <w:t>Termination</w:t>
            </w:r>
          </w:p>
        </w:tc>
        <w:tc>
          <w:tcPr>
            <w:tcW w:type="dxa" w:w="7260"/>
            <w:vAlign w:val="center"/>
          </w:tcPr>
          <w:p>
            <w:pPr>
              <w:spacing w:after="40"/>
            </w:pPr>
            <w:r>
              <w:rPr>
                <w:sz w:val="18"/>
              </w:rPr>
              <w:t>Reason for termination/non-renewal, administrative act status, justification, notification.</w:t>
            </w:r>
          </w:p>
        </w:tc>
      </w:tr>
      <w:tr>
        <w:tc>
          <w:tcPr>
            <w:tcW w:type="dxa" w:w="2100"/>
            <w:vAlign w:val="center"/>
          </w:tcPr>
          <w:p>
            <w:pPr>
              <w:spacing w:after="40"/>
            </w:pPr>
            <w:r>
              <w:rPr>
                <w:sz w:val="18"/>
              </w:rPr>
              <w:t>Amounts</w:t>
            </w:r>
          </w:p>
        </w:tc>
        <w:tc>
          <w:tcPr>
            <w:tcW w:type="dxa" w:w="7260"/>
            <w:vAlign w:val="center"/>
          </w:tcPr>
          <w:p>
            <w:pPr>
              <w:spacing w:after="40"/>
            </w:pPr>
            <w:r>
              <w:rPr>
                <w:sz w:val="18"/>
              </w:rPr>
              <w:t>Pending remuneration, proportional remuneration, vacation/administrative leave, reimbursements, bonuses, allocations, other benefits.</w:t>
            </w:r>
          </w:p>
        </w:tc>
      </w:tr>
    </w:tbl>
    <w:p>
      <w:r>
        <w:t>The module must flag legitimate expectation/confianza legítima, repeated renewals, wrong legal regime, insufficient administrative justification, honorarios reclassification, and invalid administrative act risks.</w:t>
      </w:r>
    </w:p>
    <w:p>
      <w:pPr>
        <w:pStyle w:val="Heading1"/>
      </w:pPr>
      <w:r>
        <w:t>8. Shared Tax Engine</w:t>
      </w:r>
    </w:p>
    <w:p>
      <w:r>
        <w:t>Create a reusable tax engine used by all modules. It must classify each payment item and produce a gross-to-net breakdown.</w:t>
      </w:r>
    </w:p>
    <w:p>
      <w:pPr>
        <w:spacing w:after="160"/>
        <w:ind w:left="360"/>
      </w:pPr>
      <w:r>
        <w:rPr>
          <w:rFonts w:ascii="Consolas" w:hAnsi="Consolas"/>
          <w:color w:val="202020"/>
          <w:sz w:val="18"/>
        </w:rPr>
        <w:t>def calculate_tax_treatment(payment_items, person_data, tax_parameters):</w:t>
        <w:br/>
        <w:t xml:space="preserve">    '''</w:t>
        <w:br/>
        <w:t xml:space="preserve">    Returns:</w:t>
        <w:br/>
        <w:t xml:space="preserve">    - taxable_items</w:t>
        <w:br/>
        <w:t xml:space="preserve">    - non_taxable_items</w:t>
        <w:br/>
        <w:t xml:space="preserve">    - exempt_items</w:t>
        <w:br/>
        <w:t xml:space="preserve">    - social_security_deductions</w:t>
        <w:br/>
        <w:t xml:space="preserve">    - withholding_tax</w:t>
        <w:br/>
        <w:t xml:space="preserve">    - net_payable</w:t>
        <w:br/>
        <w:t xml:space="preserve">    - explanation</w:t>
        <w:br/>
        <w:t xml:space="preserve">    '''</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300"/>
        <w:gridCol w:w="7060"/>
      </w:tblGrid>
      <w:tr>
        <w:tc>
          <w:tcPr>
            <w:tcW w:type="dxa" w:w="2300"/>
            <w:shd w:fill="E8EEF5"/>
            <w:vAlign w:val="center"/>
          </w:tcPr>
          <w:p>
            <w:pPr>
              <w:spacing w:after="40"/>
            </w:pPr>
            <w:r>
              <w:rPr>
                <w:b/>
                <w:sz w:val="18"/>
              </w:rPr>
              <w:t>Concept class</w:t>
            </w:r>
          </w:p>
        </w:tc>
        <w:tc>
          <w:tcPr>
            <w:tcW w:type="dxa" w:w="7060"/>
            <w:shd w:fill="E8EEF5"/>
            <w:vAlign w:val="center"/>
          </w:tcPr>
          <w:p>
            <w:pPr>
              <w:spacing w:after="40"/>
            </w:pPr>
            <w:r>
              <w:rPr>
                <w:b/>
                <w:sz w:val="18"/>
              </w:rPr>
              <w:t>Tax/social-security treatment to classify</w:t>
            </w:r>
          </w:p>
        </w:tc>
      </w:tr>
      <w:tr>
        <w:tc>
          <w:tcPr>
            <w:tcW w:type="dxa" w:w="2300"/>
            <w:vAlign w:val="center"/>
          </w:tcPr>
          <w:p>
            <w:pPr>
              <w:spacing w:after="40"/>
            </w:pPr>
            <w:r>
              <w:rPr>
                <w:sz w:val="18"/>
              </w:rPr>
              <w:t>Salary/pending remuneration</w:t>
            </w:r>
          </w:p>
        </w:tc>
        <w:tc>
          <w:tcPr>
            <w:tcW w:type="dxa" w:w="7060"/>
            <w:vAlign w:val="center"/>
          </w:tcPr>
          <w:p>
            <w:pPr>
              <w:spacing w:after="40"/>
            </w:pPr>
            <w:r>
              <w:rPr>
                <w:sz w:val="18"/>
              </w:rPr>
              <w:t>Normally taxable and subject to applicable employment deductions.</w:t>
            </w:r>
          </w:p>
        </w:tc>
      </w:tr>
      <w:tr>
        <w:tc>
          <w:tcPr>
            <w:tcW w:type="dxa" w:w="2300"/>
            <w:vAlign w:val="center"/>
          </w:tcPr>
          <w:p>
            <w:pPr>
              <w:spacing w:after="40"/>
            </w:pPr>
            <w:r>
              <w:rPr>
                <w:sz w:val="18"/>
              </w:rPr>
              <w:t>Legal severance</w:t>
            </w:r>
          </w:p>
        </w:tc>
        <w:tc>
          <w:tcPr>
            <w:tcW w:type="dxa" w:w="7060"/>
            <w:vAlign w:val="center"/>
          </w:tcPr>
          <w:p>
            <w:pPr>
              <w:spacing w:after="40"/>
            </w:pPr>
            <w:r>
              <w:rPr>
                <w:sz w:val="18"/>
              </w:rPr>
              <w:t>Classify according to legal caps and applicable exemption rules.</w:t>
            </w:r>
          </w:p>
        </w:tc>
      </w:tr>
      <w:tr>
        <w:tc>
          <w:tcPr>
            <w:tcW w:type="dxa" w:w="2300"/>
            <w:vAlign w:val="center"/>
          </w:tcPr>
          <w:p>
            <w:pPr>
              <w:spacing w:after="40"/>
            </w:pPr>
            <w:r>
              <w:rPr>
                <w:sz w:val="18"/>
              </w:rPr>
              <w:t>Voluntary severance</w:t>
            </w:r>
          </w:p>
        </w:tc>
        <w:tc>
          <w:tcPr>
            <w:tcW w:type="dxa" w:w="7060"/>
            <w:vAlign w:val="center"/>
          </w:tcPr>
          <w:p>
            <w:pPr>
              <w:spacing w:after="40"/>
            </w:pPr>
            <w:r>
              <w:rPr>
                <w:sz w:val="18"/>
              </w:rPr>
              <w:t>Review taxable portion separately from legal severance.</w:t>
            </w:r>
          </w:p>
        </w:tc>
      </w:tr>
      <w:tr>
        <w:tc>
          <w:tcPr>
            <w:tcW w:type="dxa" w:w="2300"/>
            <w:vAlign w:val="center"/>
          </w:tcPr>
          <w:p>
            <w:pPr>
              <w:spacing w:after="40"/>
            </w:pPr>
            <w:r>
              <w:rPr>
                <w:sz w:val="18"/>
              </w:rPr>
              <w:t>Vacation</w:t>
            </w:r>
          </w:p>
        </w:tc>
        <w:tc>
          <w:tcPr>
            <w:tcW w:type="dxa" w:w="7060"/>
            <w:vAlign w:val="center"/>
          </w:tcPr>
          <w:p>
            <w:pPr>
              <w:spacing w:after="40"/>
            </w:pPr>
            <w:r>
              <w:rPr>
                <w:sz w:val="18"/>
              </w:rPr>
              <w:t>Treat as remuneration unless a specific rule applies.</w:t>
            </w:r>
          </w:p>
        </w:tc>
      </w:tr>
      <w:tr>
        <w:tc>
          <w:tcPr>
            <w:tcW w:type="dxa" w:w="2300"/>
            <w:vAlign w:val="center"/>
          </w:tcPr>
          <w:p>
            <w:pPr>
              <w:spacing w:after="40"/>
            </w:pPr>
            <w:r>
              <w:rPr>
                <w:sz w:val="18"/>
              </w:rPr>
              <w:t>Bonuses/commissions</w:t>
            </w:r>
          </w:p>
        </w:tc>
        <w:tc>
          <w:tcPr>
            <w:tcW w:type="dxa" w:w="7060"/>
            <w:vAlign w:val="center"/>
          </w:tcPr>
          <w:p>
            <w:pPr>
              <w:spacing w:after="40"/>
            </w:pPr>
            <w:r>
              <w:rPr>
                <w:sz w:val="18"/>
              </w:rPr>
              <w:t>Usually taxable remuneration; confirm if earned and pending.</w:t>
            </w:r>
          </w:p>
        </w:tc>
      </w:tr>
      <w:tr>
        <w:tc>
          <w:tcPr>
            <w:tcW w:type="dxa" w:w="2300"/>
            <w:vAlign w:val="center"/>
          </w:tcPr>
          <w:p>
            <w:pPr>
              <w:spacing w:after="40"/>
            </w:pPr>
            <w:r>
              <w:rPr>
                <w:sz w:val="18"/>
              </w:rPr>
              <w:t>Reimbursements</w:t>
            </w:r>
          </w:p>
        </w:tc>
        <w:tc>
          <w:tcPr>
            <w:tcW w:type="dxa" w:w="7060"/>
            <w:vAlign w:val="center"/>
          </w:tcPr>
          <w:p>
            <w:pPr>
              <w:spacing w:after="40"/>
            </w:pPr>
            <w:r>
              <w:rPr>
                <w:sz w:val="18"/>
              </w:rPr>
              <w:t>Usually non-remuneration if documented and employer-approved.</w:t>
            </w:r>
          </w:p>
        </w:tc>
      </w:tr>
      <w:tr>
        <w:tc>
          <w:tcPr>
            <w:tcW w:type="dxa" w:w="2300"/>
            <w:vAlign w:val="center"/>
          </w:tcPr>
          <w:p>
            <w:pPr>
              <w:spacing w:after="40"/>
            </w:pPr>
            <w:r>
              <w:rPr>
                <w:sz w:val="18"/>
              </w:rPr>
              <w:t>Honorarios</w:t>
            </w:r>
          </w:p>
        </w:tc>
        <w:tc>
          <w:tcPr>
            <w:tcW w:type="dxa" w:w="7060"/>
            <w:vAlign w:val="center"/>
          </w:tcPr>
          <w:p>
            <w:pPr>
              <w:spacing w:after="40"/>
            </w:pPr>
            <w:r>
              <w:rPr>
                <w:sz w:val="18"/>
              </w:rPr>
              <w:t>Subject to boleta withholding/tax treatment.</w:t>
            </w:r>
          </w:p>
        </w:tc>
      </w:tr>
      <w:tr>
        <w:tc>
          <w:tcPr>
            <w:tcW w:type="dxa" w:w="2300"/>
            <w:vAlign w:val="center"/>
          </w:tcPr>
          <w:p>
            <w:pPr>
              <w:spacing w:after="40"/>
            </w:pPr>
            <w:r>
              <w:rPr>
                <w:sz w:val="18"/>
              </w:rPr>
              <w:t>Public allowances</w:t>
            </w:r>
          </w:p>
        </w:tc>
        <w:tc>
          <w:tcPr>
            <w:tcW w:type="dxa" w:w="7060"/>
            <w:vAlign w:val="center"/>
          </w:tcPr>
          <w:p>
            <w:pPr>
              <w:spacing w:after="40"/>
            </w:pPr>
            <w:r>
              <w:rPr>
                <w:sz w:val="18"/>
              </w:rPr>
              <w:t>Classify by applicable statute and concept.</w:t>
            </w:r>
          </w:p>
        </w:tc>
      </w:tr>
    </w:tbl>
    <w:p>
      <w:pPr>
        <w:pStyle w:val="Heading1"/>
      </w:pPr>
      <w:r>
        <w:t>9. Vacation Engine</w:t>
      </w:r>
    </w:p>
    <w:p>
      <w:pPr>
        <w:spacing w:after="160"/>
        <w:ind w:left="360"/>
      </w:pPr>
      <w:r>
        <w:rPr>
          <w:rFonts w:ascii="Consolas" w:hAnsi="Consolas"/>
          <w:color w:val="202020"/>
          <w:sz w:val="18"/>
        </w:rPr>
        <w:t>def calculate_vacation(start_date, termination_date, used_days, monthly_base,</w:t>
        <w:br/>
        <w:t xml:space="preserve">                       progressive_days=0, vacation_days_per_year=15):</w:t>
        <w:br/>
        <w:t xml:space="preserve">    '''Returns accrued vacation, used vacation, pending vacation,</w:t>
        <w:br/>
        <w:t xml:space="preserve">    proportional vacation, payable days, and payable amount.'''</w:t>
        <w:br/>
      </w:r>
    </w:p>
    <w:p>
      <w:pPr>
        <w:pStyle w:val="ListBullet"/>
      </w:pPr>
      <w:r>
        <w:t>Must handle vacaciones pendientes.</w:t>
      </w:r>
    </w:p>
    <w:p>
      <w:pPr>
        <w:pStyle w:val="ListBullet"/>
      </w:pPr>
      <w:r>
        <w:t>Must handle vacaciones proporcionales.</w:t>
      </w:r>
    </w:p>
    <w:p>
      <w:pPr>
        <w:pStyle w:val="ListBullet"/>
      </w:pPr>
      <w:r>
        <w:t>Must handle vacaciones progresivas if applicable.</w:t>
      </w:r>
    </w:p>
    <w:p>
      <w:pPr>
        <w:pStyle w:val="ListBullet"/>
      </w:pPr>
      <w:r>
        <w:t>Must require manual confirmation of used vacation days before report generation.</w:t>
      </w:r>
    </w:p>
    <w:p>
      <w:pPr>
        <w:pStyle w:val="ListBullet"/>
      </w:pPr>
      <w:r>
        <w:t>Must show the salary/remuneration base used for vacation payment.</w:t>
      </w:r>
    </w:p>
    <w:p>
      <w:pPr>
        <w:pStyle w:val="Heading1"/>
      </w:pPr>
      <w:r>
        <w:t>10. Benefits and Pending Payments Engine</w:t>
      </w:r>
    </w:p>
    <w:p>
      <w:pPr>
        <w:spacing w:after="160"/>
        <w:ind w:left="360"/>
      </w:pPr>
      <w:r>
        <w:rPr>
          <w:rFonts w:ascii="Consolas" w:hAnsi="Consolas"/>
          <w:color w:val="202020"/>
          <w:sz w:val="18"/>
        </w:rPr>
        <w:t>def calculate_pending_benefits(inputs):</w:t>
        <w:br/>
        <w:t xml:space="preserve">    return {</w:t>
        <w:br/>
        <w:t xml:space="preserve">        'pending_salary': ...,</w:t>
        <w:br/>
        <w:t xml:space="preserve">        'proportional_salary': ...,</w:t>
        <w:br/>
        <w:t xml:space="preserve">        'pending_commissions': ...,</w:t>
        <w:br/>
        <w:t xml:space="preserve">        'pending_bonuses': ...,</w:t>
        <w:br/>
        <w:t xml:space="preserve">        'proportional_bonuses': ...,</w:t>
        <w:br/>
        <w:t xml:space="preserve">        'travel_reimbursements': ...,</w:t>
        <w:br/>
        <w:t xml:space="preserve">        'other_reimbursements': ...,</w:t>
        <w:br/>
        <w:t xml:space="preserve">        'other_benefits': ...,</w:t>
        <w:br/>
        <w:t xml:space="preserve">        'total_pending_benefits': ...</w:t>
        <w:br/>
        <w:t xml:space="preserve">    }</w:t>
      </w:r>
    </w:p>
    <w:p>
      <w:pPr>
        <w:pStyle w:val="Heading1"/>
      </w:pPr>
      <w:r>
        <w:t>11. Risk Engine</w:t>
      </w:r>
    </w:p>
    <w:p>
      <w:r>
        <w:t>The risk engine must run before report generation. It should not block calculation, but it must block final report generation if mandatory legal review fields are missing.</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000"/>
        <w:gridCol w:w="7360"/>
      </w:tblGrid>
      <w:tr>
        <w:tc>
          <w:tcPr>
            <w:tcW w:type="dxa" w:w="2000"/>
            <w:shd w:fill="E8EEF5"/>
            <w:vAlign w:val="center"/>
          </w:tcPr>
          <w:p>
            <w:pPr>
              <w:spacing w:after="40"/>
            </w:pPr>
            <w:r>
              <w:rPr>
                <w:b/>
                <w:sz w:val="18"/>
              </w:rPr>
              <w:t>Module</w:t>
            </w:r>
          </w:p>
        </w:tc>
        <w:tc>
          <w:tcPr>
            <w:tcW w:type="dxa" w:w="7360"/>
            <w:shd w:fill="E8EEF5"/>
            <w:vAlign w:val="center"/>
          </w:tcPr>
          <w:p>
            <w:pPr>
              <w:spacing w:after="40"/>
            </w:pPr>
            <w:r>
              <w:rPr>
                <w:b/>
                <w:sz w:val="18"/>
              </w:rPr>
              <w:t>Risk flags</w:t>
            </w:r>
          </w:p>
        </w:tc>
      </w:tr>
      <w:tr>
        <w:tc>
          <w:tcPr>
            <w:tcW w:type="dxa" w:w="2000"/>
            <w:vAlign w:val="center"/>
          </w:tcPr>
          <w:p>
            <w:pPr>
              <w:spacing w:after="40"/>
            </w:pPr>
            <w:r>
              <w:rPr>
                <w:sz w:val="18"/>
              </w:rPr>
              <w:t>Private employee</w:t>
            </w:r>
          </w:p>
        </w:tc>
        <w:tc>
          <w:tcPr>
            <w:tcW w:type="dxa" w:w="7360"/>
            <w:vAlign w:val="center"/>
          </w:tcPr>
          <w:p>
            <w:pPr>
              <w:spacing w:after="40"/>
            </w:pPr>
            <w:r>
              <w:rPr>
                <w:sz w:val="18"/>
              </w:rPr>
              <w:t>Incorrect cause, missing prior notice, wrong salary base, unpaid contributions, omitted vacation, omitted bonuses/commissions, unclear tax treatment, unjustified dismissal risk.</w:t>
            </w:r>
          </w:p>
        </w:tc>
      </w:tr>
      <w:tr>
        <w:tc>
          <w:tcPr>
            <w:tcW w:type="dxa" w:w="2000"/>
            <w:vAlign w:val="center"/>
          </w:tcPr>
          <w:p>
            <w:pPr>
              <w:spacing w:after="40"/>
            </w:pPr>
            <w:r>
              <w:rPr>
                <w:sz w:val="18"/>
              </w:rPr>
              <w:t>Honorarios</w:t>
            </w:r>
          </w:p>
        </w:tc>
        <w:tc>
          <w:tcPr>
            <w:tcW w:type="dxa" w:w="7360"/>
            <w:vAlign w:val="center"/>
          </w:tcPr>
          <w:p>
            <w:pPr>
              <w:spacing w:after="40"/>
            </w:pPr>
            <w:r>
              <w:rPr>
                <w:sz w:val="18"/>
              </w:rPr>
              <w:t>Subordination/dependency, fixed schedule, fixed monthly payment, exclusivity, company tools, paid vacation-like benefits, reclassification risk.</w:t>
            </w:r>
          </w:p>
        </w:tc>
      </w:tr>
      <w:tr>
        <w:tc>
          <w:tcPr>
            <w:tcW w:type="dxa" w:w="2000"/>
            <w:vAlign w:val="center"/>
          </w:tcPr>
          <w:p>
            <w:pPr>
              <w:spacing w:after="40"/>
            </w:pPr>
            <w:r>
              <w:rPr>
                <w:sz w:val="18"/>
              </w:rPr>
              <w:t>Public sector</w:t>
            </w:r>
          </w:p>
        </w:tc>
        <w:tc>
          <w:tcPr>
            <w:tcW w:type="dxa" w:w="7360"/>
            <w:vAlign w:val="center"/>
          </w:tcPr>
          <w:p>
            <w:pPr>
              <w:spacing w:after="40"/>
            </w:pPr>
            <w:r>
              <w:rPr>
                <w:sz w:val="18"/>
              </w:rPr>
              <w:t>Confianza legítima, repeated renewals, lack of administrative justification, wrong legal regime, invalid administrative act, honorarios reclassification.</w:t>
            </w:r>
          </w:p>
        </w:tc>
      </w:tr>
    </w:tbl>
    <w:p>
      <w:pPr>
        <w:spacing w:after="160"/>
        <w:ind w:left="360"/>
      </w:pPr>
      <w:r>
        <w:rPr>
          <w:rFonts w:ascii="Consolas" w:hAnsi="Consolas"/>
          <w:color w:val="202020"/>
          <w:sz w:val="18"/>
        </w:rPr>
        <w:t>{</w:t>
        <w:br/>
        <w:t xml:space="preserve">  'risk_level': 'Medium',</w:t>
        <w:br/>
        <w:t xml:space="preserve">  'risk_flags': ['Variable remuneration requires salary-base review.'],</w:t>
        <w:br/>
        <w:t xml:space="preserve">  'recommended_actions': ['Confirm AFP, health and unemployment payments before signing.']</w:t>
        <w:br/>
        <w:t>}</w:t>
      </w:r>
    </w:p>
    <w:p>
      <w:pPr>
        <w:pStyle w:val="Heading1"/>
      </w:pPr>
      <w:r>
        <w:t>12. Report Engine</w:t>
      </w:r>
    </w:p>
    <w:p>
      <w:r>
        <w:t>The report engine must generate an on-screen report and a downloadable Word document.</w:t>
      </w:r>
    </w:p>
    <w:p>
      <w:pPr>
        <w:pStyle w:val="ListBullet"/>
      </w:pPr>
      <w:r>
        <w:t>Executive summary.</w:t>
      </w:r>
    </w:p>
    <w:p>
      <w:pPr>
        <w:pStyle w:val="ListBullet"/>
      </w:pPr>
      <w:r>
        <w:t>Case type and applicable legal regime.</w:t>
      </w:r>
    </w:p>
    <w:p>
      <w:pPr>
        <w:pStyle w:val="ListBullet"/>
      </w:pPr>
      <w:r>
        <w:t>Input data summary.</w:t>
      </w:r>
    </w:p>
    <w:p>
      <w:pPr>
        <w:pStyle w:val="ListBullet"/>
      </w:pPr>
      <w:r>
        <w:t>Calculation table.</w:t>
      </w:r>
    </w:p>
    <w:p>
      <w:pPr>
        <w:pStyle w:val="ListBullet"/>
      </w:pPr>
      <w:r>
        <w:t>Tax treatment table.</w:t>
      </w:r>
    </w:p>
    <w:p>
      <w:pPr>
        <w:pStyle w:val="ListBullet"/>
      </w:pPr>
      <w:r>
        <w:t>Social security / contribution status.</w:t>
      </w:r>
    </w:p>
    <w:p>
      <w:pPr>
        <w:pStyle w:val="ListBullet"/>
      </w:pPr>
      <w:r>
        <w:t>Vacation calculation.</w:t>
      </w:r>
    </w:p>
    <w:p>
      <w:pPr>
        <w:pStyle w:val="ListBullet"/>
      </w:pPr>
      <w:r>
        <w:t>Pending reimbursements, commissions, and bonuses.</w:t>
      </w:r>
    </w:p>
    <w:p>
      <w:pPr>
        <w:pStyle w:val="ListBullet"/>
      </w:pPr>
      <w:r>
        <w:t>Gross amount, deductions, and net payable amount.</w:t>
      </w:r>
    </w:p>
    <w:p>
      <w:pPr>
        <w:pStyle w:val="ListBullet"/>
      </w:pPr>
      <w:r>
        <w:t>Risk flags and recommended actions.</w:t>
      </w:r>
    </w:p>
    <w:p>
      <w:pPr>
        <w:pStyle w:val="ListBullet"/>
      </w:pPr>
      <w:r>
        <w:t>Assumptions and unresolved items.</w:t>
      </w:r>
    </w:p>
    <w:p>
      <w:pPr>
        <w:pStyle w:val="ListBullet"/>
      </w:pPr>
      <w:r>
        <w:t>Documents to request.</w:t>
      </w:r>
    </w:p>
    <w:p>
      <w:pPr>
        <w:pStyle w:val="ListBullet"/>
      </w:pPr>
      <w:r>
        <w:t>Lawyer/HR review checklist.</w:t>
      </w:r>
    </w:p>
    <w:p>
      <w:pPr>
        <w:pStyle w:val="Heading1"/>
      </w:pPr>
      <w:r>
        <w:t>13. User Workflow</w:t>
      </w:r>
    </w:p>
    <w:p>
      <w:pPr>
        <w:pStyle w:val="ListBullet"/>
      </w:pPr>
      <w:r>
        <w:t>Select case type: private employee, honorarios, or public sector.</w:t>
      </w:r>
    </w:p>
    <w:p>
      <w:pPr>
        <w:pStyle w:val="ListBullet"/>
      </w:pPr>
      <w:r>
        <w:t>Enter employer/entity and employee/contractor data.</w:t>
      </w:r>
    </w:p>
    <w:p>
      <w:pPr>
        <w:pStyle w:val="ListBullet"/>
      </w:pPr>
      <w:r>
        <w:t>Enter contract type, legal regime, termination reason, or contractual clause.</w:t>
      </w:r>
    </w:p>
    <w:p>
      <w:pPr>
        <w:pStyle w:val="ListBullet"/>
      </w:pPr>
      <w:r>
        <w:t>Enter economic data: salary/fee, variable pay, bonuses, commissions, reimbursements, and other benefits.</w:t>
      </w:r>
    </w:p>
    <w:p>
      <w:pPr>
        <w:pStyle w:val="ListBullet"/>
      </w:pPr>
      <w:r>
        <w:t>Enter vacation or leave data.</w:t>
      </w:r>
    </w:p>
    <w:p>
      <w:pPr>
        <w:pStyle w:val="ListBullet"/>
      </w:pPr>
      <w:r>
        <w:t>Enter social security and tax data.</w:t>
      </w:r>
    </w:p>
    <w:p>
      <w:pPr>
        <w:pStyle w:val="ListBullet"/>
      </w:pPr>
      <w:r>
        <w:t>Run calculation.</w:t>
      </w:r>
    </w:p>
    <w:p>
      <w:pPr>
        <w:pStyle w:val="ListBullet"/>
      </w:pPr>
      <w:r>
        <w:t>Review gross amount, taxable amount, non-taxable amount, deductions, and net amount.</w:t>
      </w:r>
    </w:p>
    <w:p>
      <w:pPr>
        <w:pStyle w:val="ListBullet"/>
      </w:pPr>
      <w:r>
        <w:t>Run legal risk check.</w:t>
      </w:r>
    </w:p>
    <w:p>
      <w:pPr>
        <w:pStyle w:val="ListBullet"/>
      </w:pPr>
      <w:r>
        <w:t>Generate on-screen report and Word report.</w:t>
      </w:r>
    </w:p>
    <w:p>
      <w:pPr>
        <w:pStyle w:val="Heading1"/>
      </w:pPr>
      <w:r>
        <w:t>14. Calculation Flow</w:t>
      </w:r>
    </w:p>
    <w:p>
      <w:pPr>
        <w:spacing w:after="160"/>
        <w:ind w:left="360"/>
      </w:pPr>
      <w:r>
        <w:rPr>
          <w:rFonts w:ascii="Consolas" w:hAnsi="Consolas"/>
          <w:color w:val="202020"/>
          <w:sz w:val="18"/>
        </w:rPr>
        <w:t>Input data</w:t>
        <w:br/>
        <w:t xml:space="preserve">  ↓</w:t>
        <w:br/>
        <w:t>Validate required fields</w:t>
        <w:br/>
        <w:t xml:space="preserve">  ↓</w:t>
        <w:br/>
        <w:t>Identify case type</w:t>
        <w:br/>
        <w:t xml:space="preserve">  ↓</w:t>
        <w:br/>
        <w:t>Apply legal regime</w:t>
        <w:br/>
        <w:t xml:space="preserve">  ↓</w:t>
        <w:br/>
        <w:t>Calculate base remuneration / fee</w:t>
        <w:br/>
        <w:t xml:space="preserve">  ↓</w:t>
        <w:br/>
        <w:t>Calculate pending amounts and vacation/leave</w:t>
        <w:br/>
        <w:t xml:space="preserve">  ↓</w:t>
        <w:br/>
        <w:t>Calculate severance or contractual compensation</w:t>
        <w:br/>
        <w:t xml:space="preserve">  ↓</w:t>
        <w:br/>
        <w:t>Add reimbursements, commissions, bonuses, and other benefits</w:t>
        <w:br/>
        <w:t xml:space="preserve">  ↓</w:t>
        <w:br/>
        <w:t>Classify taxable vs non-taxable payments</w:t>
        <w:br/>
        <w:t xml:space="preserve">  ↓</w:t>
        <w:br/>
        <w:t>Calculate withholding, deductions, and net payable</w:t>
        <w:br/>
        <w:t xml:space="preserve">  ↓</w:t>
        <w:br/>
        <w:t>Run legal risk engine</w:t>
        <w:br/>
        <w:t xml:space="preserve">  ↓</w:t>
        <w:br/>
        <w:t>Generate report</w:t>
      </w:r>
    </w:p>
    <w:p>
      <w:pPr>
        <w:pStyle w:val="Heading1"/>
      </w:pPr>
      <w:r>
        <w:t>15. Required Screens</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100"/>
        <w:gridCol w:w="7260"/>
      </w:tblGrid>
      <w:tr>
        <w:tc>
          <w:tcPr>
            <w:tcW w:type="dxa" w:w="2100"/>
            <w:shd w:fill="E8EEF5"/>
            <w:vAlign w:val="center"/>
          </w:tcPr>
          <w:p>
            <w:pPr>
              <w:spacing w:after="40"/>
            </w:pPr>
            <w:r>
              <w:rPr>
                <w:b/>
                <w:sz w:val="18"/>
              </w:rPr>
              <w:t>Screen</w:t>
            </w:r>
          </w:p>
        </w:tc>
        <w:tc>
          <w:tcPr>
            <w:tcW w:type="dxa" w:w="7260"/>
            <w:shd w:fill="E8EEF5"/>
            <w:vAlign w:val="center"/>
          </w:tcPr>
          <w:p>
            <w:pPr>
              <w:spacing w:after="40"/>
            </w:pPr>
            <w:r>
              <w:rPr>
                <w:b/>
                <w:sz w:val="18"/>
              </w:rPr>
              <w:t>Purpose</w:t>
            </w:r>
          </w:p>
        </w:tc>
      </w:tr>
      <w:tr>
        <w:tc>
          <w:tcPr>
            <w:tcW w:type="dxa" w:w="2100"/>
            <w:vAlign w:val="center"/>
          </w:tcPr>
          <w:p>
            <w:pPr>
              <w:spacing w:after="40"/>
            </w:pPr>
            <w:r>
              <w:rPr>
                <w:sz w:val="18"/>
              </w:rPr>
              <w:t>Main Menu</w:t>
            </w:r>
          </w:p>
        </w:tc>
        <w:tc>
          <w:tcPr>
            <w:tcW w:type="dxa" w:w="7260"/>
            <w:vAlign w:val="center"/>
          </w:tcPr>
          <w:p>
            <w:pPr>
              <w:spacing w:after="40"/>
            </w:pPr>
            <w:r>
              <w:rPr>
                <w:sz w:val="18"/>
              </w:rPr>
              <w:t>One entry point with four choices: private employee, honorarios, public sector, reports generated.</w:t>
            </w:r>
          </w:p>
        </w:tc>
      </w:tr>
      <w:tr>
        <w:tc>
          <w:tcPr>
            <w:tcW w:type="dxa" w:w="2100"/>
            <w:vAlign w:val="center"/>
          </w:tcPr>
          <w:p>
            <w:pPr>
              <w:spacing w:after="40"/>
            </w:pPr>
            <w:r>
              <w:rPr>
                <w:sz w:val="18"/>
              </w:rPr>
              <w:t>Case Input</w:t>
            </w:r>
          </w:p>
        </w:tc>
        <w:tc>
          <w:tcPr>
            <w:tcW w:type="dxa" w:w="7260"/>
            <w:vAlign w:val="center"/>
          </w:tcPr>
          <w:p>
            <w:pPr>
              <w:spacing w:after="40"/>
            </w:pPr>
            <w:r>
              <w:rPr>
                <w:sz w:val="18"/>
              </w:rPr>
              <w:t>Dynamic form depending on selected case type.</w:t>
            </w:r>
          </w:p>
        </w:tc>
      </w:tr>
      <w:tr>
        <w:tc>
          <w:tcPr>
            <w:tcW w:type="dxa" w:w="2100"/>
            <w:vAlign w:val="center"/>
          </w:tcPr>
          <w:p>
            <w:pPr>
              <w:spacing w:after="40"/>
            </w:pPr>
            <w:r>
              <w:rPr>
                <w:sz w:val="18"/>
              </w:rPr>
              <w:t>Calculation Results</w:t>
            </w:r>
          </w:p>
        </w:tc>
        <w:tc>
          <w:tcPr>
            <w:tcW w:type="dxa" w:w="7260"/>
            <w:vAlign w:val="center"/>
          </w:tcPr>
          <w:p>
            <w:pPr>
              <w:spacing w:after="40"/>
            </w:pPr>
            <w:r>
              <w:rPr>
                <w:sz w:val="18"/>
              </w:rPr>
              <w:t>Gross payable, taxable amount, non-taxable amount, deductions, net payable.</w:t>
            </w:r>
          </w:p>
        </w:tc>
      </w:tr>
      <w:tr>
        <w:tc>
          <w:tcPr>
            <w:tcW w:type="dxa" w:w="2100"/>
            <w:vAlign w:val="center"/>
          </w:tcPr>
          <w:p>
            <w:pPr>
              <w:spacing w:after="40"/>
            </w:pPr>
            <w:r>
              <w:rPr>
                <w:sz w:val="18"/>
              </w:rPr>
              <w:t>Risk Review</w:t>
            </w:r>
          </w:p>
        </w:tc>
        <w:tc>
          <w:tcPr>
            <w:tcW w:type="dxa" w:w="7260"/>
            <w:vAlign w:val="center"/>
          </w:tcPr>
          <w:p>
            <w:pPr>
              <w:spacing w:after="40"/>
            </w:pPr>
            <w:r>
              <w:rPr>
                <w:sz w:val="18"/>
              </w:rPr>
              <w:t>Risk level, risk flags, recommended actions.</w:t>
            </w:r>
          </w:p>
        </w:tc>
      </w:tr>
      <w:tr>
        <w:tc>
          <w:tcPr>
            <w:tcW w:type="dxa" w:w="2100"/>
            <w:vAlign w:val="center"/>
          </w:tcPr>
          <w:p>
            <w:pPr>
              <w:spacing w:after="40"/>
            </w:pPr>
            <w:r>
              <w:rPr>
                <w:sz w:val="18"/>
              </w:rPr>
              <w:t>Report Download</w:t>
            </w:r>
          </w:p>
        </w:tc>
        <w:tc>
          <w:tcPr>
            <w:tcW w:type="dxa" w:w="7260"/>
            <w:vAlign w:val="center"/>
          </w:tcPr>
          <w:p>
            <w:pPr>
              <w:spacing w:after="40"/>
            </w:pPr>
            <w:r>
              <w:rPr>
                <w:sz w:val="18"/>
              </w:rPr>
              <w:t>Download Word report and calculation table CSV.</w:t>
            </w:r>
          </w:p>
        </w:tc>
      </w:tr>
    </w:tbl>
    <w:p>
      <w:pPr>
        <w:pStyle w:val="Heading1"/>
      </w:pPr>
      <w:r>
        <w:t>16. Mandatory Validation Rules</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100"/>
        <w:gridCol w:w="7260"/>
      </w:tblGrid>
      <w:tr>
        <w:tc>
          <w:tcPr>
            <w:tcW w:type="dxa" w:w="2100"/>
            <w:shd w:fill="E8EEF5"/>
            <w:vAlign w:val="center"/>
          </w:tcPr>
          <w:p>
            <w:pPr>
              <w:spacing w:after="40"/>
            </w:pPr>
            <w:r>
              <w:rPr>
                <w:b/>
                <w:sz w:val="18"/>
              </w:rPr>
              <w:t>Case</w:t>
            </w:r>
          </w:p>
        </w:tc>
        <w:tc>
          <w:tcPr>
            <w:tcW w:type="dxa" w:w="7260"/>
            <w:shd w:fill="E8EEF5"/>
            <w:vAlign w:val="center"/>
          </w:tcPr>
          <w:p>
            <w:pPr>
              <w:spacing w:after="40"/>
            </w:pPr>
            <w:r>
              <w:rPr>
                <w:b/>
                <w:sz w:val="18"/>
              </w:rPr>
              <w:t>Report generation must be blocked if missing</w:t>
            </w:r>
          </w:p>
        </w:tc>
      </w:tr>
      <w:tr>
        <w:tc>
          <w:tcPr>
            <w:tcW w:type="dxa" w:w="2100"/>
            <w:vAlign w:val="center"/>
          </w:tcPr>
          <w:p>
            <w:pPr>
              <w:spacing w:after="40"/>
            </w:pPr>
            <w:r>
              <w:rPr>
                <w:sz w:val="18"/>
              </w:rPr>
              <w:t>Private employee</w:t>
            </w:r>
          </w:p>
        </w:tc>
        <w:tc>
          <w:tcPr>
            <w:tcW w:type="dxa" w:w="7260"/>
            <w:vAlign w:val="center"/>
          </w:tcPr>
          <w:p>
            <w:pPr>
              <w:spacing w:after="40"/>
            </w:pPr>
            <w:r>
              <w:rPr>
                <w:sz w:val="18"/>
              </w:rPr>
              <w:t>Start date, termination date, monthly salary, contract type, termination cause, vacation days used/confirmed, AFP/health/unemployment contribution status.</w:t>
            </w:r>
          </w:p>
        </w:tc>
      </w:tr>
      <w:tr>
        <w:tc>
          <w:tcPr>
            <w:tcW w:type="dxa" w:w="2100"/>
            <w:vAlign w:val="center"/>
          </w:tcPr>
          <w:p>
            <w:pPr>
              <w:spacing w:after="40"/>
            </w:pPr>
            <w:r>
              <w:rPr>
                <w:sz w:val="18"/>
              </w:rPr>
              <w:t>Honorarios</w:t>
            </w:r>
          </w:p>
        </w:tc>
        <w:tc>
          <w:tcPr>
            <w:tcW w:type="dxa" w:w="7260"/>
            <w:vAlign w:val="center"/>
          </w:tcPr>
          <w:p>
            <w:pPr>
              <w:spacing w:after="40"/>
            </w:pPr>
            <w:r>
              <w:rPr>
                <w:sz w:val="18"/>
              </w:rPr>
              <w:t>Contract start date, contract end date, fee amount, payment status, termination clause, subordination/dependency answers.</w:t>
            </w:r>
          </w:p>
        </w:tc>
      </w:tr>
      <w:tr>
        <w:tc>
          <w:tcPr>
            <w:tcW w:type="dxa" w:w="2100"/>
            <w:vAlign w:val="center"/>
          </w:tcPr>
          <w:p>
            <w:pPr>
              <w:spacing w:after="40"/>
            </w:pPr>
            <w:r>
              <w:rPr>
                <w:sz w:val="18"/>
              </w:rPr>
              <w:t>Public sector</w:t>
            </w:r>
          </w:p>
        </w:tc>
        <w:tc>
          <w:tcPr>
            <w:tcW w:type="dxa" w:w="7260"/>
            <w:vAlign w:val="center"/>
          </w:tcPr>
          <w:p>
            <w:pPr>
              <w:spacing w:after="40"/>
            </w:pPr>
            <w:r>
              <w:rPr>
                <w:sz w:val="18"/>
              </w:rPr>
              <w:t>Applicable regime, appointment/contract type, start date, end date, reason for termination/non-renewal, administrative act status.</w:t>
            </w:r>
          </w:p>
        </w:tc>
      </w:tr>
    </w:tbl>
    <w:p>
      <w:pPr>
        <w:pStyle w:val="Heading1"/>
      </w:pPr>
      <w:r>
        <w:t>17. Minimum Viable Version: Three Stages</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1300"/>
        <w:gridCol w:w="4700"/>
        <w:gridCol w:w="3360"/>
      </w:tblGrid>
      <w:tr>
        <w:tc>
          <w:tcPr>
            <w:tcW w:type="dxa" w:w="1300"/>
            <w:shd w:fill="E8EEF5"/>
            <w:vAlign w:val="center"/>
          </w:tcPr>
          <w:p>
            <w:pPr>
              <w:spacing w:after="40"/>
            </w:pPr>
            <w:r>
              <w:rPr>
                <w:b/>
                <w:sz w:val="18"/>
              </w:rPr>
              <w:t>Stage</w:t>
            </w:r>
          </w:p>
        </w:tc>
        <w:tc>
          <w:tcPr>
            <w:tcW w:type="dxa" w:w="4700"/>
            <w:shd w:fill="E8EEF5"/>
            <w:vAlign w:val="center"/>
          </w:tcPr>
          <w:p>
            <w:pPr>
              <w:spacing w:after="40"/>
            </w:pPr>
            <w:r>
              <w:rPr>
                <w:b/>
                <w:sz w:val="18"/>
              </w:rPr>
              <w:t>Build scope</w:t>
            </w:r>
          </w:p>
        </w:tc>
        <w:tc>
          <w:tcPr>
            <w:tcW w:type="dxa" w:w="3360"/>
            <w:shd w:fill="E8EEF5"/>
            <w:vAlign w:val="center"/>
          </w:tcPr>
          <w:p>
            <w:pPr>
              <w:spacing w:after="40"/>
            </w:pPr>
            <w:r>
              <w:rPr>
                <w:b/>
                <w:sz w:val="18"/>
              </w:rPr>
              <w:t>Acceptance criteria</w:t>
            </w:r>
          </w:p>
        </w:tc>
      </w:tr>
      <w:tr>
        <w:tc>
          <w:tcPr>
            <w:tcW w:type="dxa" w:w="1300"/>
            <w:vAlign w:val="center"/>
          </w:tcPr>
          <w:p>
            <w:pPr>
              <w:spacing w:after="40"/>
            </w:pPr>
            <w:r>
              <w:rPr>
                <w:sz w:val="18"/>
              </w:rPr>
              <w:t>Stage 1</w:t>
            </w:r>
          </w:p>
        </w:tc>
        <w:tc>
          <w:tcPr>
            <w:tcW w:type="dxa" w:w="4700"/>
            <w:vAlign w:val="center"/>
          </w:tcPr>
          <w:p>
            <w:pPr>
              <w:spacing w:after="40"/>
            </w:pPr>
            <w:r>
              <w:rPr>
                <w:sz w:val="18"/>
              </w:rPr>
              <w:t>Single menu + private employee module: salary, notice, severance, vacation, reimbursements, basic tax breakdown, risk flags, on-screen report.</w:t>
            </w:r>
          </w:p>
        </w:tc>
        <w:tc>
          <w:tcPr>
            <w:tcW w:type="dxa" w:w="3360"/>
            <w:vAlign w:val="center"/>
          </w:tcPr>
          <w:p>
            <w:pPr>
              <w:spacing w:after="40"/>
            </w:pPr>
            <w:r>
              <w:rPr>
                <w:sz w:val="18"/>
              </w:rPr>
              <w:t>One app.py runs; private employee case calculates and displays gross-to-net summary.</w:t>
            </w:r>
          </w:p>
        </w:tc>
      </w:tr>
      <w:tr>
        <w:tc>
          <w:tcPr>
            <w:tcW w:type="dxa" w:w="1300"/>
            <w:vAlign w:val="center"/>
          </w:tcPr>
          <w:p>
            <w:pPr>
              <w:spacing w:after="40"/>
            </w:pPr>
            <w:r>
              <w:rPr>
                <w:sz w:val="18"/>
              </w:rPr>
              <w:t>Stage 2</w:t>
            </w:r>
          </w:p>
        </w:tc>
        <w:tc>
          <w:tcPr>
            <w:tcW w:type="dxa" w:w="4700"/>
            <w:vAlign w:val="center"/>
          </w:tcPr>
          <w:p>
            <w:pPr>
              <w:spacing w:after="40"/>
            </w:pPr>
            <w:r>
              <w:rPr>
                <w:sz w:val="18"/>
              </w:rPr>
              <w:t>Honorarios module + reclassification risk score.</w:t>
            </w:r>
          </w:p>
        </w:tc>
        <w:tc>
          <w:tcPr>
            <w:tcW w:type="dxa" w:w="3360"/>
            <w:vAlign w:val="center"/>
          </w:tcPr>
          <w:p>
            <w:pPr>
              <w:spacing w:after="40"/>
            </w:pPr>
            <w:r>
              <w:rPr>
                <w:sz w:val="18"/>
              </w:rPr>
              <w:t>Honorarios menu works; pending fees, withholding, reimbursements, and risk level calculate.</w:t>
            </w:r>
          </w:p>
        </w:tc>
      </w:tr>
      <w:tr>
        <w:tc>
          <w:tcPr>
            <w:tcW w:type="dxa" w:w="1300"/>
            <w:vAlign w:val="center"/>
          </w:tcPr>
          <w:p>
            <w:pPr>
              <w:spacing w:after="40"/>
            </w:pPr>
            <w:r>
              <w:rPr>
                <w:sz w:val="18"/>
              </w:rPr>
              <w:t>Stage 3</w:t>
            </w:r>
          </w:p>
        </w:tc>
        <w:tc>
          <w:tcPr>
            <w:tcW w:type="dxa" w:w="4700"/>
            <w:vAlign w:val="center"/>
          </w:tcPr>
          <w:p>
            <w:pPr>
              <w:spacing w:after="40"/>
            </w:pPr>
            <w:r>
              <w:rPr>
                <w:sz w:val="18"/>
              </w:rPr>
              <w:t>Public-sector module + Word report generator.</w:t>
            </w:r>
          </w:p>
        </w:tc>
        <w:tc>
          <w:tcPr>
            <w:tcW w:type="dxa" w:w="3360"/>
            <w:vAlign w:val="center"/>
          </w:tcPr>
          <w:p>
            <w:pPr>
              <w:spacing w:after="40"/>
            </w:pPr>
            <w:r>
              <w:rPr>
                <w:sz w:val="18"/>
              </w:rPr>
              <w:t>Public-sector regime selection works; confianza legítima and administrative-act risks are flagged; Word report downloads.</w:t>
            </w:r>
          </w:p>
        </w:tc>
      </w:tr>
    </w:tbl>
    <w:p>
      <w:pPr>
        <w:pStyle w:val="Heading1"/>
      </w:pPr>
      <w:r>
        <w:t>18. Developer Implementation Workflow for Cursor</w:t>
      </w:r>
    </w:p>
    <w:p>
      <w:r>
        <w:t>Use this implementation order to avoid Cursor trying to build all legal logic at once.</w:t>
      </w:r>
    </w:p>
    <w:p>
      <w:pPr>
        <w:pStyle w:val="ListBullet"/>
      </w:pPr>
      <w:r>
        <w:t>Create folder structure and requirements.txt.</w:t>
      </w:r>
    </w:p>
    <w:p>
      <w:pPr>
        <w:pStyle w:val="ListBullet"/>
      </w:pPr>
      <w:r>
        <w:t>Create app.py with the single sidebar menu.</w:t>
      </w:r>
    </w:p>
    <w:p>
      <w:pPr>
        <w:pStyle w:val="ListBullet"/>
      </w:pPr>
      <w:r>
        <w:t>Create placeholder run functions for all three modules so the program opens cleanly from day one.</w:t>
      </w:r>
    </w:p>
    <w:p>
      <w:pPr>
        <w:pStyle w:val="ListBullet"/>
      </w:pPr>
      <w:r>
        <w:t>Implement private_employee_app.py form and private_employee_engine.py calculations.</w:t>
      </w:r>
    </w:p>
    <w:p>
      <w:pPr>
        <w:pStyle w:val="ListBullet"/>
      </w:pPr>
      <w:r>
        <w:t>Move tax classification into tax_engine.py, not inside the Streamlit UI.</w:t>
      </w:r>
    </w:p>
    <w:p>
      <w:pPr>
        <w:pStyle w:val="ListBullet"/>
      </w:pPr>
      <w:r>
        <w:t>Move vacation math into vacation_engine.py.</w:t>
      </w:r>
    </w:p>
    <w:p>
      <w:pPr>
        <w:pStyle w:val="ListBullet"/>
      </w:pPr>
      <w:r>
        <w:t>Move pending benefits and reimbursements into benefits_engine.py.</w:t>
      </w:r>
    </w:p>
    <w:p>
      <w:pPr>
        <w:pStyle w:val="ListBullet"/>
      </w:pPr>
      <w:r>
        <w:t>Implement risk_engine.py with rule-based flags.</w:t>
      </w:r>
    </w:p>
    <w:p>
      <w:pPr>
        <w:pStyle w:val="ListBullet"/>
      </w:pPr>
      <w:r>
        <w:t>Add result cards/tables in Streamlit.</w:t>
      </w:r>
    </w:p>
    <w:p>
      <w:pPr>
        <w:pStyle w:val="ListBullet"/>
      </w:pPr>
      <w:r>
        <w:t>Add report_engine.py for Word export.</w:t>
      </w:r>
    </w:p>
    <w:p>
      <w:pPr>
        <w:pStyle w:val="ListBullet"/>
      </w:pPr>
      <w:r>
        <w:t>Add honorarios engine and UI.</w:t>
      </w:r>
    </w:p>
    <w:p>
      <w:pPr>
        <w:pStyle w:val="ListBullet"/>
      </w:pPr>
      <w:r>
        <w:t>Add public-sector engine and UI.</w:t>
      </w:r>
    </w:p>
    <w:p>
      <w:pPr>
        <w:pStyle w:val="ListBullet"/>
      </w:pPr>
      <w:r>
        <w:t>Add validations and tests for required fields.</w:t>
      </w:r>
    </w:p>
    <w:p>
      <w:pPr>
        <w:pStyle w:val="ListBullet"/>
      </w:pPr>
      <w:r>
        <w:t>Add sample test cases in README or /tests.</w:t>
      </w:r>
    </w:p>
    <w:p>
      <w:pPr>
        <w:pStyle w:val="Heading1"/>
      </w:pPr>
      <w:r>
        <w:t>19. Cursor Build Prompt</w:t>
      </w:r>
    </w:p>
    <w:p>
      <w:pPr>
        <w:spacing w:after="160"/>
        <w:ind w:left="360"/>
      </w:pPr>
      <w:r>
        <w:rPr>
          <w:rFonts w:ascii="Consolas" w:hAnsi="Consolas"/>
          <w:color w:val="202020"/>
          <w:sz w:val="18"/>
        </w:rPr>
        <w:t>Build a single Streamlit application for a Chile labor termination and finiquito engine.</w:t>
        <w:br/>
        <w:br/>
        <w:t>Do not create separate apps. Create one app.py with a sidebar menu containing:</w:t>
        <w:br/>
        <w:t>1. Trabajador empresa privada</w:t>
        <w:br/>
        <w:t>2. Contrato a honorarios</w:t>
        <w:br/>
        <w:t>3. Sector público</w:t>
        <w:br/>
        <w:t>4. Reportes generados</w:t>
        <w:br/>
        <w:br/>
        <w:t>Keep calculation engines modular in /core and UI modules in /apps.</w:t>
        <w:br/>
        <w:br/>
        <w:t>Implement Stage 1 first:</w:t>
        <w:br/>
        <w:t>- Private employee form</w:t>
        <w:br/>
        <w:t>- Termination cause</w:t>
        <w:br/>
        <w:t>- Salary and severance inputs</w:t>
        <w:br/>
        <w:t>- Pending vacation</w:t>
        <w:br/>
        <w:t>- Pending bonuses and commissions</w:t>
        <w:br/>
        <w:t>- Travel and business reimbursements</w:t>
        <w:br/>
        <w:t>- Social security status</w:t>
        <w:br/>
        <w:t>- Basic tax classification</w:t>
        <w:br/>
        <w:t>- Gross and net payable amount</w:t>
        <w:br/>
        <w:t>- Risk flags</w:t>
        <w:br/>
        <w:t>- On-screen report</w:t>
        <w:br/>
        <w:br/>
        <w:t>Prepare placeholder modules for honorarios and public sector so the menu works from day one. Use clean Python functions, no hard-coded UI calculations, and keep formulas in /core.</w:t>
      </w:r>
    </w:p>
    <w:p>
      <w:pPr>
        <w:pStyle w:val="Heading1"/>
      </w:pPr>
      <w:r>
        <w:t>20. Final Architecture Rule</w:t>
      </w:r>
    </w:p>
    <w:p>
      <w:r>
        <w:t>The product must be experienced as one single program while preserving separate internal logic:</w:t>
      </w:r>
    </w:p>
    <w:p>
      <w:pPr>
        <w:spacing w:after="160"/>
        <w:ind w:left="360"/>
      </w:pPr>
      <w:r>
        <w:rPr>
          <w:rFonts w:ascii="Consolas" w:hAnsi="Consolas"/>
          <w:color w:val="202020"/>
          <w:sz w:val="18"/>
        </w:rPr>
        <w:t>One user interface</w:t>
        <w:br/>
        <w:t xml:space="preserve">  ├── Private employee legal module</w:t>
        <w:br/>
        <w:t xml:space="preserve">  ├── Honorarios legal module</w:t>
        <w:br/>
        <w:t xml:space="preserve">  ├── Public-sector legal module</w:t>
        <w:br/>
        <w:t xml:space="preserve">  ├── Shared tax engine</w:t>
        <w:br/>
        <w:t xml:space="preserve">  ├── Shared vacation engine</w:t>
        <w:br/>
        <w:t xml:space="preserve">  ├── Shared benefits engine</w:t>
        <w:br/>
        <w:t xml:space="preserve">  ├── Shared risk engine</w:t>
        <w:br/>
        <w:t xml:space="preserve">  └── Shared report generator</w:t>
      </w:r>
    </w:p>
    <w:p>
      <w:r>
        <w:t>This is the key design fix: the law firm gets one operational product, while the developer keeps the code base modular, auditable, and extensible.</w:t>
      </w:r>
    </w:p>
    <w:p>
      <w:pPr>
        <w:pStyle w:val="Heading1"/>
      </w:pPr>
      <w:r>
        <w:t>21. Notes for Legal Review</w:t>
      </w:r>
    </w:p>
    <w:p>
      <w:pPr>
        <w:pStyle w:val="ListBullet"/>
      </w:pPr>
      <w:r>
        <w:t>This program should not automatically certify legal correctness. It should produce a draft calculation and flag assumptions for lawyer review.</w:t>
      </w:r>
    </w:p>
    <w:p>
      <w:pPr>
        <w:pStyle w:val="ListBullet"/>
      </w:pPr>
      <w:r>
        <w:t>All tax parameters, legal caps, and statutory rates must be kept in YAML or configuration files so they can be updated without editing calculation logic.</w:t>
      </w:r>
    </w:p>
    <w:p>
      <w:pPr>
        <w:pStyle w:val="ListBullet"/>
      </w:pPr>
      <w:r>
        <w:t>The Word report must show assumptions clearly, especially when the salary base, termination cause, or tax treatment is legally sensitive.</w:t>
      </w:r>
    </w:p>
    <w:p>
      <w:pPr>
        <w:pStyle w:val="ListBullet"/>
      </w:pPr>
      <w:r>
        <w:t>For court-sensitive cases, the system must preserve calculation traceability: inputs, formula applied, source parameter, and output.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Chile Labor Termination Engine — Developer Ready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