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MEXICO PV + BESS OPTIMIZATION PROGRAM</w:t>
      </w:r>
    </w:p>
    <w:p>
      <w:pPr>
        <w:jc w:val="center"/>
      </w:pPr>
      <w:r>
        <w:rPr>
          <w:b/>
          <w:color w:val="1F4E79"/>
          <w:sz w:val="28"/>
        </w:rPr>
        <w:t>Rules, Regulations and Dispatch Framework for Validation</w:t>
      </w:r>
    </w:p>
    <w:p>
      <w:pPr>
        <w:jc w:val="center"/>
      </w:pPr>
      <w:r>
        <w:rPr>
          <w:i/>
          <w:sz w:val="21"/>
        </w:rPr>
        <w:t>First-step regulatory memo for model design</w:t>
      </w:r>
    </w:p>
    <w:p>
      <w:pPr>
        <w:jc w:val="center"/>
      </w:pPr>
      <w:r>
        <w:rPr>
          <w:sz w:val="19"/>
        </w:rPr>
        <w:t>Prepared for: Claudio Alemany / Held Andina</w:t>
        <w:br/>
        <w:t>Date: 18 May 2026</w:t>
      </w:r>
    </w:p>
    <w:p/>
    <w:tbl>
      <w:tblPr>
        <w:tblStyle w:val="TableGrid"/>
        <w:tblW w:type="auto" w:w="0"/>
        <w:tblLook w:firstColumn="1" w:firstRow="1" w:lastColumn="0" w:lastRow="0" w:noHBand="0" w:noVBand="1" w:val="04A0"/>
      </w:tblPr>
      <w:tblGrid>
        <w:gridCol w:w="10224"/>
      </w:tblGrid>
      <w:tr>
        <w:tc>
          <w:tcPr>
            <w:tcW w:type="dxa" w:w="10224"/>
            <w:shd w:fill="D9EAF7"/>
          </w:tcPr>
          <w:p>
            <w:r/>
            <w:r>
              <w:rPr>
                <w:b/>
                <w:sz w:val="20"/>
              </w:rPr>
              <w:t>Purpose of this memo</w:t>
            </w:r>
          </w:p>
          <w:p>
            <w:r>
              <w:rPr>
                <w:sz w:val="19"/>
              </w:rPr>
              <w:t>This document summarizes the Mexican electricity-market rules and regulatory points that should be validated before building the Mexico version of the PV+BESS optimizer. It is structured to separate legal/regulatory facts from preliminary modeling implications.</w:t>
            </w:r>
          </w:p>
        </w:tc>
      </w:tr>
    </w:tbl>
    <w:p>
      <w:r>
        <w:rPr>
          <w:b/>
        </w:rPr>
        <w:t xml:space="preserve">Important note: </w:t>
      </w:r>
      <w:r>
        <w:rPr>
          <w:sz w:val="19"/>
        </w:rPr>
        <w:t>This is a technical and commercial validation memo, not legal advice. Before relying on the rules for investment, permitting, market participation or PPA structuring, the assumptions should be validated with Mexican counsel, CENACE/CNE guidance and the relevant market participant/supplier.</w:t>
      </w:r>
    </w:p>
    <w:p>
      <w:r>
        <w:br w:type="page"/>
      </w:r>
    </w:p>
    <w:p>
      <w:pPr>
        <w:pStyle w:val="Heading1"/>
      </w:pPr>
      <w:r>
        <w:t>1. Executive summary</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top"/>
            <w:shd w:fill="1F4E79"/>
          </w:tcPr>
          <w:p>
            <w:r/>
            <w:r>
              <w:rPr>
                <w:b/>
                <w:color w:val="FFFFFF"/>
                <w:sz w:val="15"/>
              </w:rPr>
              <w:t>Topic</w:t>
            </w:r>
          </w:p>
        </w:tc>
        <w:tc>
          <w:tcPr>
            <w:tcW w:type="dxa" w:w="5184"/>
            <w:vAlign w:val="top"/>
            <w:shd w:fill="1F4E79"/>
          </w:tcPr>
          <w:p>
            <w:r/>
            <w:r>
              <w:rPr>
                <w:b/>
                <w:color w:val="FFFFFF"/>
                <w:sz w:val="15"/>
              </w:rPr>
              <w:t>Rule / regulatory point</w:t>
            </w:r>
          </w:p>
        </w:tc>
        <w:tc>
          <w:tcPr>
            <w:tcW w:type="dxa" w:w="4752"/>
            <w:vAlign w:val="top"/>
            <w:shd w:fill="1F4E79"/>
          </w:tcPr>
          <w:p>
            <w:r/>
            <w:r>
              <w:rPr>
                <w:b/>
                <w:color w:val="FFFFFF"/>
                <w:sz w:val="15"/>
              </w:rPr>
              <w:t>Model implication</w:t>
            </w:r>
          </w:p>
        </w:tc>
      </w:tr>
      <w:tr>
        <w:tc>
          <w:tcPr>
            <w:tcW w:type="dxa" w:w="1800"/>
            <w:vAlign w:val="top"/>
          </w:tcPr>
          <w:p>
            <w:r/>
            <w:r>
              <w:rPr>
                <w:b w:val="0"/>
                <w:sz w:val="15"/>
              </w:rPr>
              <w:t>Market operator</w:t>
            </w:r>
          </w:p>
        </w:tc>
        <w:tc>
          <w:tcPr>
            <w:tcW w:type="dxa" w:w="5184"/>
            <w:vAlign w:val="top"/>
          </w:tcPr>
          <w:p>
            <w:r/>
            <w:r>
              <w:rPr>
                <w:b w:val="0"/>
                <w:sz w:val="15"/>
              </w:rPr>
              <w:t>CENACE operates the Mercado Eléctrico Mayorista / MEM and calculates market results, prices and dispatch instructions.</w:t>
            </w:r>
          </w:p>
        </w:tc>
        <w:tc>
          <w:tcPr>
            <w:tcW w:type="dxa" w:w="4752"/>
            <w:vAlign w:val="top"/>
          </w:tcPr>
          <w:p>
            <w:r/>
            <w:r>
              <w:rPr>
                <w:b w:val="0"/>
                <w:sz w:val="15"/>
              </w:rPr>
              <w:t>Model must be built around CENACE data and market calendars.</w:t>
            </w:r>
          </w:p>
        </w:tc>
      </w:tr>
      <w:tr>
        <w:tc>
          <w:tcPr>
            <w:tcW w:type="dxa" w:w="1800"/>
            <w:vAlign w:val="top"/>
          </w:tcPr>
          <w:p>
            <w:r/>
            <w:r>
              <w:rPr>
                <w:b w:val="0"/>
                <w:sz w:val="15"/>
              </w:rPr>
              <w:t>Energy price</w:t>
            </w:r>
          </w:p>
        </w:tc>
        <w:tc>
          <w:tcPr>
            <w:tcW w:type="dxa" w:w="5184"/>
            <w:vAlign w:val="top"/>
          </w:tcPr>
          <w:p>
            <w:r/>
            <w:r>
              <w:rPr>
                <w:b w:val="0"/>
                <w:sz w:val="15"/>
              </w:rPr>
              <w:t>Mexico uses Precios Marginales Locales / PML by NodoP, with energy, congestion and losses components.</w:t>
            </w:r>
          </w:p>
        </w:tc>
        <w:tc>
          <w:tcPr>
            <w:tcW w:type="dxa" w:w="4752"/>
            <w:vAlign w:val="top"/>
          </w:tcPr>
          <w:p>
            <w:r/>
            <w:r>
              <w:rPr>
                <w:b w:val="0"/>
                <w:sz w:val="15"/>
              </w:rPr>
              <w:t>Revenue must be nodal, not national average. Select the project NodoP and possibly the offtaker load-zone / withdrawal node.</w:t>
            </w:r>
          </w:p>
        </w:tc>
      </w:tr>
      <w:tr>
        <w:tc>
          <w:tcPr>
            <w:tcW w:type="dxa" w:w="1800"/>
            <w:vAlign w:val="top"/>
          </w:tcPr>
          <w:p>
            <w:r/>
            <w:r>
              <w:rPr>
                <w:b w:val="0"/>
                <w:sz w:val="15"/>
              </w:rPr>
              <w:t>Dispatch</w:t>
            </w:r>
          </w:p>
        </w:tc>
        <w:tc>
          <w:tcPr>
            <w:tcW w:type="dxa" w:w="5184"/>
            <w:vAlign w:val="top"/>
          </w:tcPr>
          <w:p>
            <w:r/>
            <w:r>
              <w:rPr>
                <w:b w:val="0"/>
                <w:sz w:val="15"/>
              </w:rPr>
              <w:t>Short-term market includes day-ahead and real-time processes, with offers, unit assignment and dispatch by CENACE.</w:t>
            </w:r>
          </w:p>
        </w:tc>
        <w:tc>
          <w:tcPr>
            <w:tcW w:type="dxa" w:w="4752"/>
            <w:vAlign w:val="top"/>
          </w:tcPr>
          <w:p>
            <w:r/>
            <w:r>
              <w:rPr>
                <w:b w:val="0"/>
                <w:sz w:val="15"/>
              </w:rPr>
              <w:t>Base dispatch engine should support both MDA scheduling and MTR settlement / back-testing.</w:t>
            </w:r>
          </w:p>
        </w:tc>
      </w:tr>
      <w:tr>
        <w:tc>
          <w:tcPr>
            <w:tcW w:type="dxa" w:w="1800"/>
            <w:vAlign w:val="top"/>
          </w:tcPr>
          <w:p>
            <w:r/>
            <w:r>
              <w:rPr>
                <w:b w:val="0"/>
                <w:sz w:val="15"/>
              </w:rPr>
              <w:t>Capacity / Potencia</w:t>
            </w:r>
          </w:p>
        </w:tc>
        <w:tc>
          <w:tcPr>
            <w:tcW w:type="dxa" w:w="5184"/>
            <w:vAlign w:val="top"/>
          </w:tcPr>
          <w:p>
            <w:r/>
            <w:r>
              <w:rPr>
                <w:b w:val="0"/>
                <w:sz w:val="15"/>
              </w:rPr>
              <w:t>The Mercado para el Balance de Potencia / MBP is based on zones, 100 critical hours and reference generation technology.</w:t>
            </w:r>
          </w:p>
        </w:tc>
        <w:tc>
          <w:tcPr>
            <w:tcW w:type="dxa" w:w="4752"/>
            <w:vAlign w:val="top"/>
          </w:tcPr>
          <w:p>
            <w:r/>
            <w:r>
              <w:rPr>
                <w:b w:val="0"/>
                <w:sz w:val="15"/>
              </w:rPr>
              <w:t>Create a critical-hour module for PV+BESS capacity recognition and obligations.</w:t>
            </w:r>
          </w:p>
        </w:tc>
      </w:tr>
      <w:tr>
        <w:tc>
          <w:tcPr>
            <w:tcW w:type="dxa" w:w="1800"/>
            <w:vAlign w:val="top"/>
          </w:tcPr>
          <w:p>
            <w:r/>
            <w:r>
              <w:rPr>
                <w:b w:val="0"/>
                <w:sz w:val="15"/>
              </w:rPr>
              <w:t>Ancillary services</w:t>
            </w:r>
          </w:p>
        </w:tc>
        <w:tc>
          <w:tcPr>
            <w:tcW w:type="dxa" w:w="5184"/>
            <w:vAlign w:val="top"/>
          </w:tcPr>
          <w:p>
            <w:r/>
            <w:r>
              <w:rPr>
                <w:b w:val="0"/>
                <w:sz w:val="15"/>
              </w:rPr>
              <w:t>MECP includes energy and servicios conexos; prices are calculated jointly with dispatch for eligible services and by reserve zone.</w:t>
            </w:r>
          </w:p>
        </w:tc>
        <w:tc>
          <w:tcPr>
            <w:tcW w:type="dxa" w:w="4752"/>
            <w:vAlign w:val="top"/>
          </w:tcPr>
          <w:p>
            <w:r/>
            <w:r>
              <w:rPr>
                <w:b w:val="0"/>
                <w:sz w:val="15"/>
              </w:rPr>
              <w:t>Treat ancillary-service revenue as optional until SAE eligibility, technical requirements and CENACE systems are confirmed.</w:t>
            </w:r>
          </w:p>
        </w:tc>
      </w:tr>
      <w:tr>
        <w:tc>
          <w:tcPr>
            <w:tcW w:type="dxa" w:w="1800"/>
            <w:vAlign w:val="top"/>
          </w:tcPr>
          <w:p>
            <w:r/>
            <w:r>
              <w:rPr>
                <w:b w:val="0"/>
                <w:sz w:val="15"/>
              </w:rPr>
              <w:t>Storage / SAE</w:t>
            </w:r>
          </w:p>
        </w:tc>
        <w:tc>
          <w:tcPr>
            <w:tcW w:type="dxa" w:w="5184"/>
            <w:vAlign w:val="top"/>
          </w:tcPr>
          <w:p>
            <w:r/>
            <w:r>
              <w:rPr>
                <w:b w:val="0"/>
                <w:sz w:val="15"/>
              </w:rPr>
              <w:t>A/113/2024 created DACG for Sistemas de Almacenamiento de Energía Eléctrica. SAE modalities include associated with a power plant, load center, isolated supply, exempt generation and non-associated storage.</w:t>
            </w:r>
          </w:p>
        </w:tc>
        <w:tc>
          <w:tcPr>
            <w:tcW w:type="dxa" w:w="4752"/>
            <w:vAlign w:val="top"/>
          </w:tcPr>
          <w:p>
            <w:r/>
            <w:r>
              <w:rPr>
                <w:b w:val="0"/>
                <w:sz w:val="15"/>
              </w:rPr>
              <w:t>Split cases into SAE-CE, SAE-CC and SAE no Asociado. PV+BESS should initially be modeled as SAE-CE sharing the same interconnection point.</w:t>
            </w:r>
          </w:p>
        </w:tc>
      </w:tr>
      <w:tr>
        <w:tc>
          <w:tcPr>
            <w:tcW w:type="dxa" w:w="1800"/>
            <w:vAlign w:val="top"/>
          </w:tcPr>
          <w:p>
            <w:r/>
            <w:r>
              <w:rPr>
                <w:b w:val="0"/>
                <w:sz w:val="15"/>
              </w:rPr>
              <w:t>Regulatory update</w:t>
            </w:r>
          </w:p>
        </w:tc>
        <w:tc>
          <w:tcPr>
            <w:tcW w:type="dxa" w:w="5184"/>
            <w:vAlign w:val="top"/>
          </w:tcPr>
          <w:p>
            <w:r/>
            <w:r>
              <w:rPr>
                <w:b w:val="0"/>
                <w:sz w:val="15"/>
              </w:rPr>
              <w:t>Mexico enacted a new energy legal package in March 2025 and created the Comisión Nacional de Energía / CNE, replacing CRE functions.</w:t>
            </w:r>
          </w:p>
        </w:tc>
        <w:tc>
          <w:tcPr>
            <w:tcW w:type="dxa" w:w="4752"/>
            <w:vAlign w:val="top"/>
          </w:tcPr>
          <w:p>
            <w:r/>
            <w:r>
              <w:rPr>
                <w:b w:val="0"/>
                <w:sz w:val="15"/>
              </w:rPr>
              <w:t>Use current CNE/SENER rules for permitting and avoid relying only on pre-2025 CRE references.</w:t>
            </w:r>
          </w:p>
        </w:tc>
      </w:tr>
    </w:tbl>
    <w:p/>
    <w:p>
      <w:pPr>
        <w:pStyle w:val="ListBullet"/>
      </w:pPr>
      <w:r>
        <w:rPr>
          <w:sz w:val="19"/>
        </w:rPr>
        <w:t>The first Mexico optimizer should prioritize: hourly NodoP PML, PV generation, BESS state of charge, MDA/MTR price selection, 100 critical-hour capacity logic, and optional PSC revenue.</w:t>
      </w:r>
    </w:p>
    <w:p>
      <w:pPr>
        <w:pStyle w:val="ListBullet"/>
      </w:pPr>
      <w:r>
        <w:rPr>
          <w:sz w:val="19"/>
        </w:rPr>
        <w:t>The most important validation questions are: selected NodoP, storage modality, grid-charging rights, permit treatment, capacity recognition, ancillary-service eligibility, and PPA settlement node.</w:t>
      </w:r>
    </w:p>
    <w:p>
      <w:pPr>
        <w:pStyle w:val="Heading1"/>
      </w:pPr>
      <w:r>
        <w:t>2. Core regulatory framework to validate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1F4E79"/>
          </w:tcPr>
          <w:p>
            <w:r/>
            <w:r>
              <w:rPr>
                <w:b/>
                <w:color w:val="FFFFFF"/>
                <w:sz w:val="15"/>
              </w:rPr>
              <w:t>Instrument / institution</w:t>
            </w:r>
          </w:p>
        </w:tc>
        <w:tc>
          <w:tcPr>
            <w:tcW w:type="dxa" w:w="5472"/>
            <w:vAlign w:val="top"/>
            <w:shd w:fill="1F4E79"/>
          </w:tcPr>
          <w:p>
            <w:r/>
            <w:r>
              <w:rPr>
                <w:b/>
                <w:color w:val="FFFFFF"/>
                <w:sz w:val="15"/>
              </w:rPr>
              <w:t>What it controls</w:t>
            </w:r>
          </w:p>
        </w:tc>
        <w:tc>
          <w:tcPr>
            <w:tcW w:type="dxa" w:w="3312"/>
            <w:vAlign w:val="top"/>
            <w:shd w:fill="1F4E79"/>
          </w:tcPr>
          <w:p>
            <w:r/>
            <w:r>
              <w:rPr>
                <w:b/>
                <w:color w:val="FFFFFF"/>
                <w:sz w:val="15"/>
              </w:rPr>
              <w:t>Validation needed</w:t>
            </w:r>
          </w:p>
        </w:tc>
      </w:tr>
      <w:tr>
        <w:tc>
          <w:tcPr>
            <w:tcW w:type="dxa" w:w="2880"/>
            <w:vAlign w:val="top"/>
          </w:tcPr>
          <w:p>
            <w:r/>
            <w:r>
              <w:rPr>
                <w:b w:val="0"/>
                <w:sz w:val="15"/>
              </w:rPr>
              <w:t>Ley del Sector Eléctrico / 2025 package</w:t>
            </w:r>
          </w:p>
        </w:tc>
        <w:tc>
          <w:tcPr>
            <w:tcW w:type="dxa" w:w="5472"/>
            <w:vAlign w:val="top"/>
          </w:tcPr>
          <w:p>
            <w:r/>
            <w:r>
              <w:rPr>
                <w:b w:val="0"/>
                <w:sz w:val="15"/>
              </w:rPr>
              <w:t>New legal package published in March 2025. It regulates planning and control of the SEN, transmission/distribution public service and sector activities. It is now the higher-level electricity framework to review.</w:t>
            </w:r>
          </w:p>
        </w:tc>
        <w:tc>
          <w:tcPr>
            <w:tcW w:type="dxa" w:w="3312"/>
            <w:vAlign w:val="top"/>
          </w:tcPr>
          <w:p>
            <w:r/>
            <w:r>
              <w:rPr>
                <w:b w:val="0"/>
                <w:sz w:val="15"/>
              </w:rPr>
              <w:t>Need counsel confirmation on how existing MEM rules and pre-2025 manuals continue to apply under the new law package.</w:t>
            </w:r>
          </w:p>
        </w:tc>
      </w:tr>
      <w:tr>
        <w:tc>
          <w:tcPr>
            <w:tcW w:type="dxa" w:w="2880"/>
            <w:vAlign w:val="top"/>
          </w:tcPr>
          <w:p>
            <w:r/>
            <w:r>
              <w:rPr>
                <w:b w:val="0"/>
                <w:sz w:val="15"/>
              </w:rPr>
              <w:t>Comisión Nacional de Energía / CNE</w:t>
            </w:r>
          </w:p>
        </w:tc>
        <w:tc>
          <w:tcPr>
            <w:tcW w:type="dxa" w:w="5472"/>
            <w:vAlign w:val="top"/>
          </w:tcPr>
          <w:p>
            <w:r/>
            <w:r>
              <w:rPr>
                <w:b w:val="0"/>
                <w:sz w:val="15"/>
              </w:rPr>
              <w:t>CNE was created in March 2025 and assumes regulatory functions previously associated with CRE, including permits and supervision/regulation of sector activities.</w:t>
            </w:r>
          </w:p>
        </w:tc>
        <w:tc>
          <w:tcPr>
            <w:tcW w:type="dxa" w:w="3312"/>
            <w:vAlign w:val="top"/>
          </w:tcPr>
          <w:p>
            <w:r/>
            <w:r>
              <w:rPr>
                <w:b w:val="0"/>
                <w:sz w:val="15"/>
              </w:rPr>
              <w:t>Permitting and storage validation should be checked with CNE status, not only CRE legacy references.</w:t>
            </w:r>
          </w:p>
        </w:tc>
      </w:tr>
      <w:tr>
        <w:tc>
          <w:tcPr>
            <w:tcW w:type="dxa" w:w="2880"/>
            <w:vAlign w:val="top"/>
          </w:tcPr>
          <w:p>
            <w:r/>
            <w:r>
              <w:rPr>
                <w:b w:val="0"/>
                <w:sz w:val="15"/>
              </w:rPr>
              <w:t>CENACE</w:t>
            </w:r>
          </w:p>
        </w:tc>
        <w:tc>
          <w:tcPr>
            <w:tcW w:type="dxa" w:w="5472"/>
            <w:vAlign w:val="top"/>
          </w:tcPr>
          <w:p>
            <w:r/>
            <w:r>
              <w:rPr>
                <w:b w:val="0"/>
                <w:sz w:val="15"/>
              </w:rPr>
              <w:t>CENACE remains the system and market operator: dispatch, market operation, PML/PSC calculation, interconnection studies and instructions.</w:t>
            </w:r>
          </w:p>
        </w:tc>
        <w:tc>
          <w:tcPr>
            <w:tcW w:type="dxa" w:w="3312"/>
            <w:vAlign w:val="top"/>
          </w:tcPr>
          <w:p>
            <w:r/>
            <w:r>
              <w:rPr>
                <w:b w:val="0"/>
                <w:sz w:val="15"/>
              </w:rPr>
              <w:t>All model settlement and dispatch logic must be traceable to CENACE market outputs.</w:t>
            </w:r>
          </w:p>
        </w:tc>
      </w:tr>
      <w:tr>
        <w:tc>
          <w:tcPr>
            <w:tcW w:type="dxa" w:w="2880"/>
            <w:vAlign w:val="top"/>
          </w:tcPr>
          <w:p>
            <w:r/>
            <w:r>
              <w:rPr>
                <w:b w:val="0"/>
                <w:sz w:val="15"/>
              </w:rPr>
              <w:t>Bases del Mercado Eléctrico and market manuals</w:t>
            </w:r>
          </w:p>
        </w:tc>
        <w:tc>
          <w:tcPr>
            <w:tcW w:type="dxa" w:w="5472"/>
            <w:vAlign w:val="top"/>
          </w:tcPr>
          <w:p>
            <w:r/>
            <w:r>
              <w:rPr>
                <w:b w:val="0"/>
                <w:sz w:val="15"/>
              </w:rPr>
              <w:t>The MEM remains governed by market bases and operational market manuals, including the Manual de Mercado de Energía de Corto Plazo and Manual del Mercado para el Balance de Potencia.</w:t>
            </w:r>
          </w:p>
        </w:tc>
        <w:tc>
          <w:tcPr>
            <w:tcW w:type="dxa" w:w="3312"/>
            <w:vAlign w:val="top"/>
          </w:tcPr>
          <w:p>
            <w:r/>
            <w:r>
              <w:rPr>
                <w:b w:val="0"/>
                <w:sz w:val="15"/>
              </w:rPr>
              <w:t>Use manuals as operational source for optimizer formulas and settlement modules.</w:t>
            </w:r>
          </w:p>
        </w:tc>
      </w:tr>
      <w:tr>
        <w:tc>
          <w:tcPr>
            <w:tcW w:type="dxa" w:w="2880"/>
            <w:vAlign w:val="top"/>
          </w:tcPr>
          <w:p>
            <w:r/>
            <w:r>
              <w:rPr>
                <w:b w:val="0"/>
                <w:sz w:val="15"/>
              </w:rPr>
              <w:t>Código de Red and interconnection manuals</w:t>
            </w:r>
          </w:p>
        </w:tc>
        <w:tc>
          <w:tcPr>
            <w:tcW w:type="dxa" w:w="5472"/>
            <w:vAlign w:val="top"/>
          </w:tcPr>
          <w:p>
            <w:r/>
            <w:r>
              <w:rPr>
                <w:b w:val="0"/>
                <w:sz w:val="15"/>
              </w:rPr>
              <w:t>Projects must comply with technical reliability and interconnection/conection criteria. Storage projects also require MIC-based studies depending on modality.</w:t>
            </w:r>
          </w:p>
        </w:tc>
        <w:tc>
          <w:tcPr>
            <w:tcW w:type="dxa" w:w="3312"/>
            <w:vAlign w:val="top"/>
          </w:tcPr>
          <w:p>
            <w:r/>
            <w:r>
              <w:rPr>
                <w:b w:val="0"/>
                <w:sz w:val="15"/>
              </w:rPr>
              <w:t>Add a technical-compliance checklist for grid-forming, response time, metering, interconnection and operating restrictions.</w:t>
            </w:r>
          </w:p>
        </w:tc>
      </w:tr>
    </w:tbl>
    <w:p/>
    <w:p>
      <w:pPr>
        <w:pStyle w:val="Heading1"/>
      </w:pPr>
      <w:r>
        <w:t>3. Dispatch and short-term market rules</w:t>
      </w:r>
    </w:p>
    <w:p>
      <w:r>
        <w:t>The Mercado de Energía de Corto Plazo / MECP is the MEM component where energy and servicios conexos are traded. CENACE describes the MECP as including Mercado del Día en Adelanto / MDA, Mercado de Tiempo Real / MTR and related market processes. CENACE states that the MECP started operations in Baja California on 27 January 2016, Baja California Sur on 23 March 2016 and the Sistema Interconectado Nacional on 29 January 2016.</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1F4E79"/>
          </w:tcPr>
          <w:p>
            <w:r/>
            <w:r>
              <w:rPr>
                <w:b/>
                <w:color w:val="FFFFFF"/>
                <w:sz w:val="16"/>
              </w:rPr>
              <w:t>Process</w:t>
            </w:r>
          </w:p>
        </w:tc>
        <w:tc>
          <w:tcPr>
            <w:tcW w:type="dxa" w:w="5760"/>
            <w:vAlign w:val="top"/>
            <w:shd w:fill="1F4E79"/>
          </w:tcPr>
          <w:p>
            <w:r/>
            <w:r>
              <w:rPr>
                <w:b/>
                <w:color w:val="FFFFFF"/>
                <w:sz w:val="16"/>
              </w:rPr>
              <w:t>Rule summary</w:t>
            </w:r>
          </w:p>
        </w:tc>
        <w:tc>
          <w:tcPr>
            <w:tcW w:type="dxa" w:w="4320"/>
            <w:vAlign w:val="top"/>
            <w:shd w:fill="1F4E79"/>
          </w:tcPr>
          <w:p>
            <w:r/>
            <w:r>
              <w:rPr>
                <w:b/>
                <w:color w:val="FFFFFF"/>
                <w:sz w:val="16"/>
              </w:rPr>
              <w:t>Model implication</w:t>
            </w:r>
          </w:p>
        </w:tc>
      </w:tr>
      <w:tr>
        <w:tc>
          <w:tcPr>
            <w:tcW w:type="dxa" w:w="1728"/>
            <w:vAlign w:val="top"/>
          </w:tcPr>
          <w:p>
            <w:r/>
            <w:r>
              <w:rPr>
                <w:b w:val="0"/>
                <w:sz w:val="16"/>
              </w:rPr>
              <w:t>MDA</w:t>
            </w:r>
          </w:p>
        </w:tc>
        <w:tc>
          <w:tcPr>
            <w:tcW w:type="dxa" w:w="5760"/>
            <w:vAlign w:val="top"/>
          </w:tcPr>
          <w:p>
            <w:r/>
            <w:r>
              <w:rPr>
                <w:b w:val="0"/>
                <w:sz w:val="16"/>
              </w:rPr>
              <w:t>Day-ahead market. Participants submit offers; CENACE evaluates consistency and runs optimization to determine unit assignment, dispatch and import/export programs.</w:t>
            </w:r>
          </w:p>
        </w:tc>
        <w:tc>
          <w:tcPr>
            <w:tcW w:type="dxa" w:w="4320"/>
            <w:vAlign w:val="top"/>
          </w:tcPr>
          <w:p>
            <w:r/>
            <w:r>
              <w:rPr>
                <w:b w:val="0"/>
                <w:sz w:val="16"/>
              </w:rPr>
              <w:t>Use for forecast schedule, PPA delivery plan and day-ahead arbitrage strategy.</w:t>
            </w:r>
          </w:p>
        </w:tc>
      </w:tr>
      <w:tr>
        <w:tc>
          <w:tcPr>
            <w:tcW w:type="dxa" w:w="1728"/>
            <w:vAlign w:val="top"/>
          </w:tcPr>
          <w:p>
            <w:r/>
            <w:r>
              <w:rPr>
                <w:b w:val="0"/>
                <w:sz w:val="16"/>
              </w:rPr>
              <w:t>MTR</w:t>
            </w:r>
          </w:p>
        </w:tc>
        <w:tc>
          <w:tcPr>
            <w:tcW w:type="dxa" w:w="5760"/>
            <w:vAlign w:val="top"/>
          </w:tcPr>
          <w:p>
            <w:r/>
            <w:r>
              <w:rPr>
                <w:b w:val="0"/>
                <w:sz w:val="16"/>
              </w:rPr>
              <w:t>Real-time market. CENACE issues assignments and dispatch instructions and calculates PML and PSC for settlement.</w:t>
            </w:r>
          </w:p>
        </w:tc>
        <w:tc>
          <w:tcPr>
            <w:tcW w:type="dxa" w:w="4320"/>
            <w:vAlign w:val="top"/>
          </w:tcPr>
          <w:p>
            <w:r/>
            <w:r>
              <w:rPr>
                <w:b w:val="0"/>
                <w:sz w:val="16"/>
              </w:rPr>
              <w:t>Use for historical back-test and final merchant settlement simulation.</w:t>
            </w:r>
          </w:p>
        </w:tc>
      </w:tr>
      <w:tr>
        <w:tc>
          <w:tcPr>
            <w:tcW w:type="dxa" w:w="1728"/>
            <w:vAlign w:val="top"/>
          </w:tcPr>
          <w:p>
            <w:r/>
            <w:r>
              <w:rPr>
                <w:b w:val="0"/>
                <w:sz w:val="16"/>
              </w:rPr>
              <w:t>Offers</w:t>
            </w:r>
          </w:p>
        </w:tc>
        <w:tc>
          <w:tcPr>
            <w:tcW w:type="dxa" w:w="5760"/>
            <w:vAlign w:val="top"/>
          </w:tcPr>
          <w:p>
            <w:r/>
            <w:r>
              <w:rPr>
                <w:b w:val="0"/>
                <w:sz w:val="16"/>
              </w:rPr>
              <w:t>Market participants submit offers to buy and sell energy and services in net-energy terms using CENACE systems.</w:t>
            </w:r>
          </w:p>
        </w:tc>
        <w:tc>
          <w:tcPr>
            <w:tcW w:type="dxa" w:w="4320"/>
            <w:vAlign w:val="top"/>
          </w:tcPr>
          <w:p>
            <w:r/>
            <w:r>
              <w:rPr>
                <w:b w:val="0"/>
                <w:sz w:val="16"/>
              </w:rPr>
              <w:t>BESS model must support both charge offers / withdrawals and discharge offers / injections depending on SAE modality.</w:t>
            </w:r>
          </w:p>
        </w:tc>
      </w:tr>
      <w:tr>
        <w:tc>
          <w:tcPr>
            <w:tcW w:type="dxa" w:w="1728"/>
            <w:vAlign w:val="top"/>
          </w:tcPr>
          <w:p>
            <w:r/>
            <w:r>
              <w:rPr>
                <w:b w:val="0"/>
                <w:sz w:val="16"/>
              </w:rPr>
              <w:t>CENACE instructions</w:t>
            </w:r>
          </w:p>
        </w:tc>
        <w:tc>
          <w:tcPr>
            <w:tcW w:type="dxa" w:w="5760"/>
            <w:vAlign w:val="top"/>
          </w:tcPr>
          <w:p>
            <w:r/>
            <w:r>
              <w:rPr>
                <w:b w:val="0"/>
                <w:sz w:val="16"/>
              </w:rPr>
              <w:t>Represented units must follow assignment and dispatch instructions issued by CENACE for energy and servicios conexos.</w:t>
            </w:r>
          </w:p>
        </w:tc>
        <w:tc>
          <w:tcPr>
            <w:tcW w:type="dxa" w:w="4320"/>
            <w:vAlign w:val="top"/>
          </w:tcPr>
          <w:p>
            <w:r/>
            <w:r>
              <w:rPr>
                <w:b w:val="0"/>
                <w:sz w:val="16"/>
              </w:rPr>
              <w:t>Optimizer should not assume purely self-dispatch if the project participates directly in MEM services.</w:t>
            </w:r>
          </w:p>
        </w:tc>
      </w:tr>
      <w:tr>
        <w:tc>
          <w:tcPr>
            <w:tcW w:type="dxa" w:w="1728"/>
            <w:vAlign w:val="top"/>
          </w:tcPr>
          <w:p>
            <w:r/>
            <w:r>
              <w:rPr>
                <w:b w:val="0"/>
                <w:sz w:val="16"/>
              </w:rPr>
              <w:t>Reliability dispatch</w:t>
            </w:r>
          </w:p>
        </w:tc>
        <w:tc>
          <w:tcPr>
            <w:tcW w:type="dxa" w:w="5760"/>
            <w:vAlign w:val="top"/>
          </w:tcPr>
          <w:p>
            <w:r/>
            <w:r>
              <w:rPr>
                <w:b w:val="0"/>
                <w:sz w:val="16"/>
              </w:rPr>
              <w:t>The manual includes supplementary assignment processes for reliability and market instructions.</w:t>
            </w:r>
          </w:p>
        </w:tc>
        <w:tc>
          <w:tcPr>
            <w:tcW w:type="dxa" w:w="4320"/>
            <w:vAlign w:val="top"/>
          </w:tcPr>
          <w:p>
            <w:r/>
            <w:r>
              <w:rPr>
                <w:b w:val="0"/>
                <w:sz w:val="16"/>
              </w:rPr>
              <w:t>Add override capability: CENACE reliability instruction may change economic dispatch.</w:t>
            </w:r>
          </w:p>
        </w:tc>
      </w:tr>
    </w:tbl>
    <w:p/>
    <w:p>
      <w:pPr>
        <w:pStyle w:val="Heading1"/>
      </w:pPr>
      <w:r>
        <w:t>4. PML, PND and PSC price data</w:t>
      </w:r>
    </w:p>
    <w:p>
      <w:r>
        <w:t>CENACE calculates, for each hour and each NodoP, Precios Marginales Locales / PML and Precios en Nodos Distribuidos / PND, and for each reserve zone, Precios de Servicios Conexos / PSC. CENACE’s data dictionary states that PML represents the energy price at a specific NodoP and includes three components: energy, congestion and losses.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1F4E79"/>
          </w:tcPr>
          <w:p>
            <w:r/>
            <w:r>
              <w:rPr>
                <w:b/>
                <w:color w:val="FFFFFF"/>
                <w:sz w:val="16"/>
              </w:rPr>
              <w:t>Data item</w:t>
            </w:r>
          </w:p>
        </w:tc>
        <w:tc>
          <w:tcPr>
            <w:tcW w:type="dxa" w:w="5112"/>
            <w:vAlign w:val="top"/>
            <w:shd w:fill="1F4E79"/>
          </w:tcPr>
          <w:p>
            <w:r/>
            <w:r>
              <w:rPr>
                <w:b/>
                <w:color w:val="FFFFFF"/>
                <w:sz w:val="16"/>
              </w:rPr>
              <w:t>Regulatory/data meaning</w:t>
            </w:r>
          </w:p>
        </w:tc>
        <w:tc>
          <w:tcPr>
            <w:tcW w:type="dxa" w:w="4680"/>
            <w:vAlign w:val="top"/>
            <w:shd w:fill="1F4E79"/>
          </w:tcPr>
          <w:p>
            <w:r/>
            <w:r>
              <w:rPr>
                <w:b/>
                <w:color w:val="FFFFFF"/>
                <w:sz w:val="16"/>
              </w:rPr>
              <w:t>Model implication</w:t>
            </w:r>
          </w:p>
        </w:tc>
      </w:tr>
      <w:tr>
        <w:tc>
          <w:tcPr>
            <w:tcW w:type="dxa" w:w="1944"/>
            <w:vAlign w:val="top"/>
          </w:tcPr>
          <w:p>
            <w:r/>
            <w:r>
              <w:rPr>
                <w:b w:val="0"/>
                <w:sz w:val="16"/>
              </w:rPr>
              <w:t>PML MDA</w:t>
            </w:r>
          </w:p>
        </w:tc>
        <w:tc>
          <w:tcPr>
            <w:tcW w:type="dxa" w:w="5112"/>
            <w:vAlign w:val="top"/>
          </w:tcPr>
          <w:p>
            <w:r/>
            <w:r>
              <w:rPr>
                <w:b w:val="0"/>
                <w:sz w:val="16"/>
              </w:rPr>
              <w:t>Hourly day-ahead PML by NodoP; available before the operating day.</w:t>
            </w:r>
          </w:p>
        </w:tc>
        <w:tc>
          <w:tcPr>
            <w:tcW w:type="dxa" w:w="4680"/>
            <w:vAlign w:val="top"/>
          </w:tcPr>
          <w:p>
            <w:r/>
            <w:r>
              <w:rPr>
                <w:b w:val="0"/>
                <w:sz w:val="16"/>
              </w:rPr>
              <w:t>Use as scheduling signal and PPA nominated-price scenario.</w:t>
            </w:r>
          </w:p>
        </w:tc>
      </w:tr>
      <w:tr>
        <w:tc>
          <w:tcPr>
            <w:tcW w:type="dxa" w:w="1944"/>
            <w:vAlign w:val="top"/>
          </w:tcPr>
          <w:p>
            <w:r/>
            <w:r>
              <w:rPr>
                <w:b w:val="0"/>
                <w:sz w:val="16"/>
              </w:rPr>
              <w:t>PML MTR</w:t>
            </w:r>
          </w:p>
        </w:tc>
        <w:tc>
          <w:tcPr>
            <w:tcW w:type="dxa" w:w="5112"/>
            <w:vAlign w:val="top"/>
          </w:tcPr>
          <w:p>
            <w:r/>
            <w:r>
              <w:rPr>
                <w:b w:val="0"/>
                <w:sz w:val="16"/>
              </w:rPr>
              <w:t>Hourly real-time PML by NodoP; may be recalculated/republished.</w:t>
            </w:r>
          </w:p>
        </w:tc>
        <w:tc>
          <w:tcPr>
            <w:tcW w:type="dxa" w:w="4680"/>
            <w:vAlign w:val="top"/>
          </w:tcPr>
          <w:p>
            <w:r/>
            <w:r>
              <w:rPr>
                <w:b w:val="0"/>
                <w:sz w:val="16"/>
              </w:rPr>
              <w:t>Use as settlement / historical merchant back-test.</w:t>
            </w:r>
          </w:p>
        </w:tc>
      </w:tr>
      <w:tr>
        <w:tc>
          <w:tcPr>
            <w:tcW w:type="dxa" w:w="1944"/>
            <w:vAlign w:val="top"/>
          </w:tcPr>
          <w:p>
            <w:r/>
            <w:r>
              <w:rPr>
                <w:b w:val="0"/>
                <w:sz w:val="16"/>
              </w:rPr>
              <w:t>PND</w:t>
            </w:r>
          </w:p>
        </w:tc>
        <w:tc>
          <w:tcPr>
            <w:tcW w:type="dxa" w:w="5112"/>
            <w:vAlign w:val="top"/>
          </w:tcPr>
          <w:p>
            <w:r/>
            <w:r>
              <w:rPr>
                <w:b w:val="0"/>
                <w:sz w:val="16"/>
              </w:rPr>
              <w:t>Weighted average node price by load zone.</w:t>
            </w:r>
          </w:p>
        </w:tc>
        <w:tc>
          <w:tcPr>
            <w:tcW w:type="dxa" w:w="4680"/>
            <w:vAlign w:val="top"/>
          </w:tcPr>
          <w:p>
            <w:r/>
            <w:r>
              <w:rPr>
                <w:b w:val="0"/>
                <w:sz w:val="16"/>
              </w:rPr>
              <w:t>Useful for offtaker/load modeling, especially if PPA references load zone rather than generator node.</w:t>
            </w:r>
          </w:p>
        </w:tc>
      </w:tr>
      <w:tr>
        <w:tc>
          <w:tcPr>
            <w:tcW w:type="dxa" w:w="1944"/>
            <w:vAlign w:val="top"/>
          </w:tcPr>
          <w:p>
            <w:r/>
            <w:r>
              <w:rPr>
                <w:b w:val="0"/>
                <w:sz w:val="16"/>
              </w:rPr>
              <w:t>PSC</w:t>
            </w:r>
          </w:p>
        </w:tc>
        <w:tc>
          <w:tcPr>
            <w:tcW w:type="dxa" w:w="5112"/>
            <w:vAlign w:val="top"/>
          </w:tcPr>
          <w:p>
            <w:r/>
            <w:r>
              <w:rPr>
                <w:b w:val="0"/>
                <w:sz w:val="16"/>
              </w:rPr>
              <w:t>Ancillary-service prices by reserve zone.</w:t>
            </w:r>
          </w:p>
        </w:tc>
        <w:tc>
          <w:tcPr>
            <w:tcW w:type="dxa" w:w="4680"/>
            <w:vAlign w:val="top"/>
          </w:tcPr>
          <w:p>
            <w:r/>
            <w:r>
              <w:rPr>
                <w:b w:val="0"/>
                <w:sz w:val="16"/>
              </w:rPr>
              <w:t>Optional revenue module; requires eligibility validation.</w:t>
            </w:r>
          </w:p>
        </w:tc>
      </w:tr>
      <w:tr>
        <w:tc>
          <w:tcPr>
            <w:tcW w:type="dxa" w:w="1944"/>
            <w:vAlign w:val="top"/>
          </w:tcPr>
          <w:p>
            <w:r/>
            <w:r>
              <w:rPr>
                <w:b w:val="0"/>
                <w:sz w:val="16"/>
              </w:rPr>
              <w:t>PML components</w:t>
            </w:r>
          </w:p>
        </w:tc>
        <w:tc>
          <w:tcPr>
            <w:tcW w:type="dxa" w:w="5112"/>
            <w:vAlign w:val="top"/>
          </w:tcPr>
          <w:p>
            <w:r/>
            <w:r>
              <w:rPr>
                <w:b w:val="0"/>
                <w:sz w:val="16"/>
              </w:rPr>
              <w:t>Energy + congestion + losses.</w:t>
            </w:r>
          </w:p>
        </w:tc>
        <w:tc>
          <w:tcPr>
            <w:tcW w:type="dxa" w:w="4680"/>
            <w:vAlign w:val="top"/>
          </w:tcPr>
          <w:p>
            <w:r/>
            <w:r>
              <w:rPr>
                <w:b w:val="0"/>
                <w:sz w:val="16"/>
              </w:rPr>
              <w:t>Optimizer should keep components separately to analyze congestion basis risk.</w:t>
            </w:r>
          </w:p>
        </w:tc>
      </w:tr>
    </w:tbl>
    <w:p/>
    <w:p>
      <w:pPr>
        <w:pStyle w:val="Heading1"/>
      </w:pPr>
      <w:r>
        <w:t>5. Storage regulation / SAE</w:t>
      </w:r>
    </w:p>
    <w:p>
      <w:r>
        <w:t>The key storage regulation is Acuerdo A/113/2024, published in the DOF on 7 March 2025, issuing Disposiciones Administrativas de Carácter General for integrating Sistemas de Almacenamiento de Energía Eléctrica / SAE into the Sistema Eléctrico Nacional. The agreement entered into force the following business day, according to legal commentary. The rules should be validated against CNE/CENACE implementation updates because the transitional provisions require adjustments to market systems, interconnection contracts and capacity/ancillary mechanisms.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r/>
            <w:r>
              <w:rPr>
                <w:b/>
                <w:color w:val="FFFFFF"/>
                <w:sz w:val="15"/>
              </w:rPr>
              <w:t>SAE modality</w:t>
            </w:r>
          </w:p>
        </w:tc>
        <w:tc>
          <w:tcPr>
            <w:tcW w:type="dxa" w:w="5472"/>
            <w:vAlign w:val="top"/>
            <w:shd w:fill="1F4E79"/>
          </w:tcPr>
          <w:p>
            <w:r/>
            <w:r>
              <w:rPr>
                <w:b/>
                <w:color w:val="FFFFFF"/>
                <w:sz w:val="15"/>
              </w:rPr>
              <w:t>Regulatory summary</w:t>
            </w:r>
          </w:p>
        </w:tc>
        <w:tc>
          <w:tcPr>
            <w:tcW w:type="dxa" w:w="4320"/>
            <w:vAlign w:val="top"/>
            <w:shd w:fill="1F4E79"/>
          </w:tcPr>
          <w:p>
            <w:r/>
            <w:r>
              <w:rPr>
                <w:b/>
                <w:color w:val="FFFFFF"/>
                <w:sz w:val="15"/>
              </w:rPr>
              <w:t>Model implication</w:t>
            </w:r>
          </w:p>
        </w:tc>
      </w:tr>
      <w:tr>
        <w:tc>
          <w:tcPr>
            <w:tcW w:type="dxa" w:w="2016"/>
            <w:vAlign w:val="top"/>
          </w:tcPr>
          <w:p>
            <w:r/>
            <w:r>
              <w:rPr>
                <w:b w:val="0"/>
                <w:sz w:val="15"/>
              </w:rPr>
              <w:t>SAE-CE</w:t>
            </w:r>
          </w:p>
        </w:tc>
        <w:tc>
          <w:tcPr>
            <w:tcW w:type="dxa" w:w="5472"/>
            <w:vAlign w:val="top"/>
          </w:tcPr>
          <w:p>
            <w:r/>
            <w:r>
              <w:rPr>
                <w:b w:val="0"/>
                <w:sz w:val="15"/>
              </w:rPr>
              <w:t>Storage associated with an intermittent power plant, sharing the same interconnection point and generally represented by the same market participant.</w:t>
            </w:r>
          </w:p>
        </w:tc>
        <w:tc>
          <w:tcPr>
            <w:tcW w:type="dxa" w:w="4320"/>
            <w:vAlign w:val="top"/>
          </w:tcPr>
          <w:p>
            <w:r/>
            <w:r>
              <w:rPr>
                <w:b w:val="0"/>
                <w:sz w:val="15"/>
              </w:rPr>
              <w:t>Best first case for PV+BESS hybrid project. Model PV-priority charging, grid charging only if requested/approved in interconnection process.</w:t>
            </w:r>
          </w:p>
        </w:tc>
      </w:tr>
      <w:tr>
        <w:tc>
          <w:tcPr>
            <w:tcW w:type="dxa" w:w="2016"/>
            <w:vAlign w:val="top"/>
          </w:tcPr>
          <w:p>
            <w:r/>
            <w:r>
              <w:rPr>
                <w:b w:val="0"/>
                <w:sz w:val="15"/>
              </w:rPr>
              <w:t>SAE-CC</w:t>
            </w:r>
          </w:p>
        </w:tc>
        <w:tc>
          <w:tcPr>
            <w:tcW w:type="dxa" w:w="5472"/>
            <w:vAlign w:val="top"/>
          </w:tcPr>
          <w:p>
            <w:r/>
            <w:r>
              <w:rPr>
                <w:b w:val="0"/>
                <w:sz w:val="15"/>
              </w:rPr>
              <w:t>Storage associated with a load center, generally without injection to the SEN depending on structure.</w:t>
            </w:r>
          </w:p>
        </w:tc>
        <w:tc>
          <w:tcPr>
            <w:tcW w:type="dxa" w:w="4320"/>
            <w:vAlign w:val="top"/>
          </w:tcPr>
          <w:p>
            <w:r/>
            <w:r>
              <w:rPr>
                <w:b w:val="0"/>
                <w:sz w:val="15"/>
              </w:rPr>
              <w:t>Useful for industrial offtakers and behind-the-meter optimization; not the first merchant plant model.</w:t>
            </w:r>
          </w:p>
        </w:tc>
      </w:tr>
      <w:tr>
        <w:tc>
          <w:tcPr>
            <w:tcW w:type="dxa" w:w="2016"/>
            <w:vAlign w:val="top"/>
          </w:tcPr>
          <w:p>
            <w:r/>
            <w:r>
              <w:rPr>
                <w:b w:val="0"/>
                <w:sz w:val="15"/>
              </w:rPr>
              <w:t>SAE-AA</w:t>
            </w:r>
          </w:p>
        </w:tc>
        <w:tc>
          <w:tcPr>
            <w:tcW w:type="dxa" w:w="5472"/>
            <w:vAlign w:val="top"/>
          </w:tcPr>
          <w:p>
            <w:r/>
            <w:r>
              <w:rPr>
                <w:b w:val="0"/>
                <w:sz w:val="15"/>
              </w:rPr>
              <w:t>Storage associated with isolated supply.</w:t>
            </w:r>
          </w:p>
        </w:tc>
        <w:tc>
          <w:tcPr>
            <w:tcW w:type="dxa" w:w="4320"/>
            <w:vAlign w:val="top"/>
          </w:tcPr>
          <w:p>
            <w:r/>
            <w:r>
              <w:rPr>
                <w:b w:val="0"/>
                <w:sz w:val="15"/>
              </w:rPr>
              <w:t>Special case, likely outside the first merchant/PPA optimizer.</w:t>
            </w:r>
          </w:p>
        </w:tc>
      </w:tr>
      <w:tr>
        <w:tc>
          <w:tcPr>
            <w:tcW w:type="dxa" w:w="2016"/>
            <w:vAlign w:val="top"/>
          </w:tcPr>
          <w:p>
            <w:r/>
            <w:r>
              <w:rPr>
                <w:b w:val="0"/>
                <w:sz w:val="15"/>
              </w:rPr>
              <w:t>SAE-GE</w:t>
            </w:r>
          </w:p>
        </w:tc>
        <w:tc>
          <w:tcPr>
            <w:tcW w:type="dxa" w:w="5472"/>
            <w:vAlign w:val="top"/>
          </w:tcPr>
          <w:p>
            <w:r/>
            <w:r>
              <w:rPr>
                <w:b w:val="0"/>
                <w:sz w:val="15"/>
              </w:rPr>
              <w:t>Storage associated with exempt generation / distributed generation framework.</w:t>
            </w:r>
          </w:p>
        </w:tc>
        <w:tc>
          <w:tcPr>
            <w:tcW w:type="dxa" w:w="4320"/>
            <w:vAlign w:val="top"/>
          </w:tcPr>
          <w:p>
            <w:r/>
            <w:r>
              <w:rPr>
                <w:b w:val="0"/>
                <w:sz w:val="15"/>
              </w:rPr>
              <w:t>Small-scale case, not utility-scale first model.</w:t>
            </w:r>
          </w:p>
        </w:tc>
      </w:tr>
      <w:tr>
        <w:tc>
          <w:tcPr>
            <w:tcW w:type="dxa" w:w="2016"/>
            <w:vAlign w:val="top"/>
          </w:tcPr>
          <w:p>
            <w:r/>
            <w:r>
              <w:rPr>
                <w:b w:val="0"/>
                <w:sz w:val="15"/>
              </w:rPr>
              <w:t>SAE no Asociado</w:t>
            </w:r>
          </w:p>
        </w:tc>
        <w:tc>
          <w:tcPr>
            <w:tcW w:type="dxa" w:w="5472"/>
            <w:vAlign w:val="top"/>
          </w:tcPr>
          <w:p>
            <w:r/>
            <w:r>
              <w:rPr>
                <w:b w:val="0"/>
                <w:sz w:val="15"/>
              </w:rPr>
              <w:t>Standalone/non-associated storage, treated as firm plant and represented in MEM by a generator.</w:t>
            </w:r>
          </w:p>
        </w:tc>
        <w:tc>
          <w:tcPr>
            <w:tcW w:type="dxa" w:w="4320"/>
            <w:vAlign w:val="top"/>
          </w:tcPr>
          <w:p>
            <w:r/>
            <w:r>
              <w:rPr>
                <w:b w:val="0"/>
                <w:sz w:val="15"/>
              </w:rPr>
              <w:t>Potential standalone BESS model; needs direct permitting, interconnection and market treatment validation.</w:t>
            </w:r>
          </w:p>
        </w:tc>
      </w:tr>
    </w:tbl>
    <w:p/>
    <w:p>
      <w:pPr>
        <w:pStyle w:val="ListBullet"/>
      </w:pPr>
      <w:r>
        <w:rPr>
          <w:sz w:val="19"/>
        </w:rPr>
        <w:t>Important SAE-CE validation point: legal commentary indicates that PV-associated storage should charge from the associated power plant; if grid charging is intended, it should be indicated in the interconnection request and may trigger connection/interconnection study requirements.</w:t>
      </w:r>
    </w:p>
    <w:p>
      <w:pPr>
        <w:pStyle w:val="ListBullet"/>
      </w:pPr>
      <w:r>
        <w:rPr>
          <w:sz w:val="19"/>
        </w:rPr>
        <w:t>Important market-participation point: legal commentary indicates that until CENACE makes detailed market-system adjustments, SAE participation may be limited to energy withdrawals/injections and capacity, with ancillary-service treatment requiring further implementation.</w:t>
      </w:r>
    </w:p>
    <w:p>
      <w:pPr>
        <w:pStyle w:val="Heading1"/>
      </w:pPr>
      <w:r>
        <w:t>6. Potencia / capacity balance market</w:t>
      </w:r>
    </w:p>
    <w:p>
      <w:r>
        <w:t>CENACE describes the Mercado para el Balance de Potencia / MBP as based mainly on three concepts: Zonas de Potencia del SEN, 100 Horas Críticas of the relevant production year, and a reference generation technology in each zone. SENER reliability policy and CRE/CNE reserve percentages are also inputs.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r/>
            <w:r>
              <w:rPr>
                <w:b/>
                <w:color w:val="FFFFFF"/>
                <w:sz w:val="15"/>
              </w:rPr>
              <w:t>Topic</w:t>
            </w:r>
          </w:p>
        </w:tc>
        <w:tc>
          <w:tcPr>
            <w:tcW w:type="dxa" w:w="5472"/>
            <w:vAlign w:val="top"/>
            <w:shd w:fill="1F4E79"/>
          </w:tcPr>
          <w:p>
            <w:r/>
            <w:r>
              <w:rPr>
                <w:b/>
                <w:color w:val="FFFFFF"/>
                <w:sz w:val="15"/>
              </w:rPr>
              <w:t>Regulatory / market point</w:t>
            </w:r>
          </w:p>
        </w:tc>
        <w:tc>
          <w:tcPr>
            <w:tcW w:type="dxa" w:w="4320"/>
            <w:vAlign w:val="top"/>
            <w:shd w:fill="1F4E79"/>
          </w:tcPr>
          <w:p>
            <w:r/>
            <w:r>
              <w:rPr>
                <w:b/>
                <w:color w:val="FFFFFF"/>
                <w:sz w:val="15"/>
              </w:rPr>
              <w:t>Model implication</w:t>
            </w:r>
          </w:p>
        </w:tc>
      </w:tr>
      <w:tr>
        <w:tc>
          <w:tcPr>
            <w:tcW w:type="dxa" w:w="2016"/>
            <w:vAlign w:val="top"/>
          </w:tcPr>
          <w:p>
            <w:r/>
            <w:r>
              <w:rPr>
                <w:b w:val="0"/>
                <w:sz w:val="15"/>
              </w:rPr>
              <w:t>100 critical hours</w:t>
            </w:r>
          </w:p>
        </w:tc>
        <w:tc>
          <w:tcPr>
            <w:tcW w:type="dxa" w:w="5472"/>
            <w:vAlign w:val="top"/>
          </w:tcPr>
          <w:p>
            <w:r/>
            <w:r>
              <w:rPr>
                <w:b w:val="0"/>
                <w:sz w:val="15"/>
              </w:rPr>
              <w:t>Hours of the production year used to assess capacity supply and demand. External market analysis describes them as the hours with minimum generation reserve.</w:t>
            </w:r>
          </w:p>
        </w:tc>
        <w:tc>
          <w:tcPr>
            <w:tcW w:type="dxa" w:w="4320"/>
            <w:vAlign w:val="top"/>
          </w:tcPr>
          <w:p>
            <w:r/>
            <w:r>
              <w:rPr>
                <w:b w:val="0"/>
                <w:sz w:val="15"/>
              </w:rPr>
              <w:t>Build a module that identifies or imports the official 100 critical hours and calculates PV/BESS contribution.</w:t>
            </w:r>
          </w:p>
        </w:tc>
      </w:tr>
      <w:tr>
        <w:tc>
          <w:tcPr>
            <w:tcW w:type="dxa" w:w="2016"/>
            <w:vAlign w:val="top"/>
          </w:tcPr>
          <w:p>
            <w:r/>
            <w:r>
              <w:rPr>
                <w:b w:val="0"/>
                <w:sz w:val="15"/>
              </w:rPr>
              <w:t>Zonas de Potencia</w:t>
            </w:r>
          </w:p>
        </w:tc>
        <w:tc>
          <w:tcPr>
            <w:tcW w:type="dxa" w:w="5472"/>
            <w:vAlign w:val="top"/>
          </w:tcPr>
          <w:p>
            <w:r/>
            <w:r>
              <w:rPr>
                <w:b w:val="0"/>
                <w:sz w:val="15"/>
              </w:rPr>
              <w:t>Capacity is assessed by capacity zone, not only by energy node.</w:t>
            </w:r>
          </w:p>
        </w:tc>
        <w:tc>
          <w:tcPr>
            <w:tcW w:type="dxa" w:w="4320"/>
            <w:vAlign w:val="top"/>
          </w:tcPr>
          <w:p>
            <w:r/>
            <w:r>
              <w:rPr>
                <w:b w:val="0"/>
                <w:sz w:val="15"/>
              </w:rPr>
              <w:t>Map project NodoP to the relevant capacity zone.</w:t>
            </w:r>
          </w:p>
        </w:tc>
      </w:tr>
      <w:tr>
        <w:tc>
          <w:tcPr>
            <w:tcW w:type="dxa" w:w="2016"/>
            <w:vAlign w:val="top"/>
          </w:tcPr>
          <w:p>
            <w:r/>
            <w:r>
              <w:rPr>
                <w:b w:val="0"/>
                <w:sz w:val="15"/>
              </w:rPr>
              <w:t>PV recognition</w:t>
            </w:r>
          </w:p>
        </w:tc>
        <w:tc>
          <w:tcPr>
            <w:tcW w:type="dxa" w:w="5472"/>
            <w:vAlign w:val="top"/>
          </w:tcPr>
          <w:p>
            <w:r/>
            <w:r>
              <w:rPr>
                <w:b w:val="0"/>
                <w:sz w:val="15"/>
              </w:rPr>
              <w:t>Intermittent plant capacity recognition depends on actual production during critical hours under the applicable MBP methodology.</w:t>
            </w:r>
          </w:p>
        </w:tc>
        <w:tc>
          <w:tcPr>
            <w:tcW w:type="dxa" w:w="4320"/>
            <w:vAlign w:val="top"/>
          </w:tcPr>
          <w:p>
            <w:r/>
            <w:r>
              <w:rPr>
                <w:b w:val="0"/>
                <w:sz w:val="15"/>
              </w:rPr>
              <w:t>PV-only capacity value may be low if critical hours occur in evening/night.</w:t>
            </w:r>
          </w:p>
        </w:tc>
      </w:tr>
      <w:tr>
        <w:tc>
          <w:tcPr>
            <w:tcW w:type="dxa" w:w="2016"/>
            <w:vAlign w:val="top"/>
          </w:tcPr>
          <w:p>
            <w:r/>
            <w:r>
              <w:rPr>
                <w:b w:val="0"/>
                <w:sz w:val="15"/>
              </w:rPr>
              <w:t>BESS recognition</w:t>
            </w:r>
          </w:p>
        </w:tc>
        <w:tc>
          <w:tcPr>
            <w:tcW w:type="dxa" w:w="5472"/>
            <w:vAlign w:val="top"/>
          </w:tcPr>
          <w:p>
            <w:r/>
            <w:r>
              <w:rPr>
                <w:b w:val="0"/>
                <w:sz w:val="15"/>
              </w:rPr>
              <w:t>Storage rules are evolving. SAE-CE charged only from associated plant may be able to accredit Potencia as firm units according to legal commentary; CENACE MBP modifications must be confirmed.</w:t>
            </w:r>
          </w:p>
        </w:tc>
        <w:tc>
          <w:tcPr>
            <w:tcW w:type="dxa" w:w="4320"/>
            <w:vAlign w:val="top"/>
          </w:tcPr>
          <w:p>
            <w:r/>
            <w:r>
              <w:rPr>
                <w:b w:val="0"/>
                <w:sz w:val="15"/>
              </w:rPr>
              <w:t>Model a conservative, base and upside capacity-recognition case.</w:t>
            </w:r>
          </w:p>
        </w:tc>
      </w:tr>
      <w:tr>
        <w:tc>
          <w:tcPr>
            <w:tcW w:type="dxa" w:w="2016"/>
            <w:vAlign w:val="top"/>
          </w:tcPr>
          <w:p>
            <w:r/>
            <w:r>
              <w:rPr>
                <w:b w:val="0"/>
                <w:sz w:val="15"/>
              </w:rPr>
              <w:t>Obligations</w:t>
            </w:r>
          </w:p>
        </w:tc>
        <w:tc>
          <w:tcPr>
            <w:tcW w:type="dxa" w:w="5472"/>
            <w:vAlign w:val="top"/>
          </w:tcPr>
          <w:p>
            <w:r/>
            <w:r>
              <w:rPr>
                <w:b w:val="0"/>
                <w:sz w:val="15"/>
              </w:rPr>
              <w:t>Load-serving entities / market participants may have capacity obligations under MBP.</w:t>
            </w:r>
          </w:p>
        </w:tc>
        <w:tc>
          <w:tcPr>
            <w:tcW w:type="dxa" w:w="4320"/>
            <w:vAlign w:val="top"/>
          </w:tcPr>
          <w:p>
            <w:r/>
            <w:r>
              <w:rPr>
                <w:b w:val="0"/>
                <w:sz w:val="15"/>
              </w:rPr>
              <w:t>24h PPA model must price capacity-risk allocation and compliance obligation.</w:t>
            </w:r>
          </w:p>
        </w:tc>
      </w:tr>
    </w:tbl>
    <w:p/>
    <w:p>
      <w:pPr>
        <w:pStyle w:val="Heading1"/>
      </w:pPr>
      <w:r>
        <w:t>7. Ancillary services / servicios conexos</w:t>
      </w:r>
    </w:p>
    <w:p>
      <w:r>
        <w:t>The Manual de Mercado de Energía de Corto Plazo states that energy and servicios conexos are traded in the short-term market and that the assignment and prices of servicios conexos are calculated jointly with energy dispatch in the MDA and MTR. CENACE calculates PSC by reserve zone. The manual explicitly includes Reservas de Regulación Secundaria de Frecuencia among included servicios conexos.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1F4E79"/>
          </w:tcPr>
          <w:p>
            <w:r/>
            <w:r>
              <w:rPr>
                <w:b/>
                <w:color w:val="FFFFFF"/>
                <w:sz w:val="16"/>
              </w:rPr>
              <w:t>Service / issue</w:t>
            </w:r>
          </w:p>
        </w:tc>
        <w:tc>
          <w:tcPr>
            <w:tcW w:type="dxa" w:w="4896"/>
            <w:vAlign w:val="top"/>
            <w:shd w:fill="1F4E79"/>
          </w:tcPr>
          <w:p>
            <w:r/>
            <w:r>
              <w:rPr>
                <w:b/>
                <w:color w:val="FFFFFF"/>
                <w:sz w:val="16"/>
              </w:rPr>
              <w:t>Rule summary</w:t>
            </w:r>
          </w:p>
        </w:tc>
        <w:tc>
          <w:tcPr>
            <w:tcW w:type="dxa" w:w="4032"/>
            <w:vAlign w:val="top"/>
            <w:shd w:fill="1F4E79"/>
          </w:tcPr>
          <w:p>
            <w:r/>
            <w:r>
              <w:rPr>
                <w:b/>
                <w:color w:val="FFFFFF"/>
                <w:sz w:val="16"/>
              </w:rPr>
              <w:t>Model implication</w:t>
            </w:r>
          </w:p>
        </w:tc>
      </w:tr>
      <w:tr>
        <w:tc>
          <w:tcPr>
            <w:tcW w:type="dxa" w:w="2880"/>
            <w:vAlign w:val="top"/>
          </w:tcPr>
          <w:p>
            <w:r/>
            <w:r>
              <w:rPr>
                <w:b w:val="0"/>
                <w:sz w:val="16"/>
              </w:rPr>
              <w:t>Regulación secundaria de frecuencia</w:t>
            </w:r>
          </w:p>
        </w:tc>
        <w:tc>
          <w:tcPr>
            <w:tcW w:type="dxa" w:w="4896"/>
            <w:vAlign w:val="top"/>
          </w:tcPr>
          <w:p>
            <w:r/>
            <w:r>
              <w:rPr>
                <w:b w:val="0"/>
                <w:sz w:val="16"/>
              </w:rPr>
              <w:t>Included in MECP ancillary-service products according to the short-term market manual.</w:t>
            </w:r>
          </w:p>
        </w:tc>
        <w:tc>
          <w:tcPr>
            <w:tcW w:type="dxa" w:w="4032"/>
            <w:vAlign w:val="top"/>
          </w:tcPr>
          <w:p>
            <w:r/>
            <w:r>
              <w:rPr>
                <w:b w:val="0"/>
                <w:sz w:val="16"/>
              </w:rPr>
              <w:t>Potential BESS revenue, but only if technical and market eligibility are confirmed.</w:t>
            </w:r>
          </w:p>
        </w:tc>
      </w:tr>
      <w:tr>
        <w:tc>
          <w:tcPr>
            <w:tcW w:type="dxa" w:w="2880"/>
            <w:vAlign w:val="top"/>
          </w:tcPr>
          <w:p>
            <w:r/>
            <w:r>
              <w:rPr>
                <w:b w:val="0"/>
                <w:sz w:val="16"/>
              </w:rPr>
              <w:t>Reserve zone pricing</w:t>
            </w:r>
          </w:p>
        </w:tc>
        <w:tc>
          <w:tcPr>
            <w:tcW w:type="dxa" w:w="4896"/>
            <w:vAlign w:val="top"/>
          </w:tcPr>
          <w:p>
            <w:r/>
            <w:r>
              <w:rPr>
                <w:b w:val="0"/>
                <w:sz w:val="16"/>
              </w:rPr>
              <w:t>PSC is calculated by reserve zone, not by NodoP.</w:t>
            </w:r>
          </w:p>
        </w:tc>
        <w:tc>
          <w:tcPr>
            <w:tcW w:type="dxa" w:w="4032"/>
            <w:vAlign w:val="top"/>
          </w:tcPr>
          <w:p>
            <w:r/>
            <w:r>
              <w:rPr>
                <w:b w:val="0"/>
                <w:sz w:val="16"/>
              </w:rPr>
              <w:t>Map project to reserve zone and import hourly PSC data.</w:t>
            </w:r>
          </w:p>
        </w:tc>
      </w:tr>
      <w:tr>
        <w:tc>
          <w:tcPr>
            <w:tcW w:type="dxa" w:w="2880"/>
            <w:vAlign w:val="top"/>
          </w:tcPr>
          <w:p>
            <w:r/>
            <w:r>
              <w:rPr>
                <w:b w:val="0"/>
                <w:sz w:val="16"/>
              </w:rPr>
              <w:t>Non-MEM ancillary services</w:t>
            </w:r>
          </w:p>
        </w:tc>
        <w:tc>
          <w:tcPr>
            <w:tcW w:type="dxa" w:w="4896"/>
            <w:vAlign w:val="top"/>
          </w:tcPr>
          <w:p>
            <w:r/>
            <w:r>
              <w:rPr>
                <w:b w:val="0"/>
                <w:sz w:val="16"/>
              </w:rPr>
              <w:t>Some reliability services may be outside the MEM and subject to regulated remuneration / future rules.</w:t>
            </w:r>
          </w:p>
        </w:tc>
        <w:tc>
          <w:tcPr>
            <w:tcW w:type="dxa" w:w="4032"/>
            <w:vAlign w:val="top"/>
          </w:tcPr>
          <w:p>
            <w:r/>
            <w:r>
              <w:rPr>
                <w:b w:val="0"/>
                <w:sz w:val="16"/>
              </w:rPr>
              <w:t>Keep outside base case; add as optional manually-entered revenue.</w:t>
            </w:r>
          </w:p>
        </w:tc>
      </w:tr>
      <w:tr>
        <w:tc>
          <w:tcPr>
            <w:tcW w:type="dxa" w:w="2880"/>
            <w:vAlign w:val="top"/>
          </w:tcPr>
          <w:p>
            <w:r/>
            <w:r>
              <w:rPr>
                <w:b w:val="0"/>
                <w:sz w:val="16"/>
              </w:rPr>
              <w:t>SAE implementation gap</w:t>
            </w:r>
          </w:p>
        </w:tc>
        <w:tc>
          <w:tcPr>
            <w:tcW w:type="dxa" w:w="4896"/>
            <w:vAlign w:val="top"/>
          </w:tcPr>
          <w:p>
            <w:r/>
            <w:r>
              <w:rPr>
                <w:b w:val="0"/>
                <w:sz w:val="16"/>
              </w:rPr>
              <w:t>Storage-specific dispatch/liquidation for ancillary services depends on further CENACE/CNE mechanisms.</w:t>
            </w:r>
          </w:p>
        </w:tc>
        <w:tc>
          <w:tcPr>
            <w:tcW w:type="dxa" w:w="4032"/>
            <w:vAlign w:val="top"/>
          </w:tcPr>
          <w:p>
            <w:r/>
            <w:r>
              <w:rPr>
                <w:b w:val="0"/>
                <w:sz w:val="16"/>
              </w:rPr>
              <w:t>Do not bank base-case IRR on ancillary services until validated.</w:t>
            </w:r>
          </w:p>
        </w:tc>
      </w:tr>
    </w:tbl>
    <w:p/>
    <w:p>
      <w:pPr>
        <w:pStyle w:val="Heading1"/>
      </w:pPr>
      <w:r>
        <w:t>8. PPA and offtake issues to validate</w:t>
      </w:r>
    </w:p>
    <w:p>
      <w:r>
        <w:t>For a Mexico PV+BESS optimizer, PPA economics should be modeled after the market rules are validated. The legal/regulatory points below drive how a 24-hour or shaped PPA should be simulated.</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1F4E79"/>
          </w:tcPr>
          <w:p>
            <w:r/>
            <w:r>
              <w:rPr>
                <w:b/>
                <w:color w:val="FFFFFF"/>
                <w:sz w:val="16"/>
              </w:rPr>
              <w:t>Issue</w:t>
            </w:r>
          </w:p>
        </w:tc>
        <w:tc>
          <w:tcPr>
            <w:tcW w:type="dxa" w:w="5112"/>
            <w:vAlign w:val="top"/>
            <w:shd w:fill="1F4E79"/>
          </w:tcPr>
          <w:p>
            <w:r/>
            <w:r>
              <w:rPr>
                <w:b/>
                <w:color w:val="FFFFFF"/>
                <w:sz w:val="16"/>
              </w:rPr>
              <w:t>Validation point</w:t>
            </w:r>
          </w:p>
        </w:tc>
        <w:tc>
          <w:tcPr>
            <w:tcW w:type="dxa" w:w="4320"/>
            <w:vAlign w:val="top"/>
            <w:shd w:fill="1F4E79"/>
          </w:tcPr>
          <w:p>
            <w:r/>
            <w:r>
              <w:rPr>
                <w:b/>
                <w:color w:val="FFFFFF"/>
                <w:sz w:val="16"/>
              </w:rPr>
              <w:t>Model implication</w:t>
            </w:r>
          </w:p>
        </w:tc>
      </w:tr>
      <w:tr>
        <w:tc>
          <w:tcPr>
            <w:tcW w:type="dxa" w:w="2448"/>
            <w:vAlign w:val="top"/>
          </w:tcPr>
          <w:p>
            <w:r/>
            <w:r>
              <w:rPr>
                <w:b w:val="0"/>
                <w:sz w:val="16"/>
              </w:rPr>
              <w:t>Settlement node</w:t>
            </w:r>
          </w:p>
        </w:tc>
        <w:tc>
          <w:tcPr>
            <w:tcW w:type="dxa" w:w="5112"/>
            <w:vAlign w:val="top"/>
          </w:tcPr>
          <w:p>
            <w:r/>
            <w:r>
              <w:rPr>
                <w:b w:val="0"/>
                <w:sz w:val="16"/>
              </w:rPr>
              <w:t>PPA may reference generator NodoP, load zone PND, or a bilateral price with market pass-throughs.</w:t>
            </w:r>
          </w:p>
        </w:tc>
        <w:tc>
          <w:tcPr>
            <w:tcW w:type="dxa" w:w="4320"/>
            <w:vAlign w:val="top"/>
          </w:tcPr>
          <w:p>
            <w:r/>
            <w:r>
              <w:rPr>
                <w:b w:val="0"/>
                <w:sz w:val="16"/>
              </w:rPr>
              <w:t>Model generator-node and load-zone basis risk separately.</w:t>
            </w:r>
          </w:p>
        </w:tc>
      </w:tr>
      <w:tr>
        <w:tc>
          <w:tcPr>
            <w:tcW w:type="dxa" w:w="2448"/>
            <w:vAlign w:val="top"/>
          </w:tcPr>
          <w:p>
            <w:r/>
            <w:r>
              <w:rPr>
                <w:b w:val="0"/>
                <w:sz w:val="16"/>
              </w:rPr>
              <w:t>Qualified supplier / qualified user</w:t>
            </w:r>
          </w:p>
        </w:tc>
        <w:tc>
          <w:tcPr>
            <w:tcW w:type="dxa" w:w="5112"/>
            <w:vAlign w:val="top"/>
          </w:tcPr>
          <w:p>
            <w:r/>
            <w:r>
              <w:rPr>
                <w:b w:val="0"/>
                <w:sz w:val="16"/>
              </w:rPr>
              <w:t>Corporate offtake often involves a suministrador calificado or qualified market participant structure.</w:t>
            </w:r>
          </w:p>
        </w:tc>
        <w:tc>
          <w:tcPr>
            <w:tcW w:type="dxa" w:w="4320"/>
            <w:vAlign w:val="top"/>
          </w:tcPr>
          <w:p>
            <w:r/>
            <w:r>
              <w:rPr>
                <w:b w:val="0"/>
                <w:sz w:val="16"/>
              </w:rPr>
              <w:t>Need party roles and settlement chain before final model.</w:t>
            </w:r>
          </w:p>
        </w:tc>
      </w:tr>
      <w:tr>
        <w:tc>
          <w:tcPr>
            <w:tcW w:type="dxa" w:w="2448"/>
            <w:vAlign w:val="top"/>
          </w:tcPr>
          <w:p>
            <w:r/>
            <w:r>
              <w:rPr>
                <w:b w:val="0"/>
                <w:sz w:val="16"/>
              </w:rPr>
              <w:t>Capacity responsibility</w:t>
            </w:r>
          </w:p>
        </w:tc>
        <w:tc>
          <w:tcPr>
            <w:tcW w:type="dxa" w:w="5112"/>
            <w:vAlign w:val="top"/>
          </w:tcPr>
          <w:p>
            <w:r/>
            <w:r>
              <w:rPr>
                <w:b w:val="0"/>
                <w:sz w:val="16"/>
              </w:rPr>
              <w:t>Capacity obligations can be allocated contractually.</w:t>
            </w:r>
          </w:p>
        </w:tc>
        <w:tc>
          <w:tcPr>
            <w:tcW w:type="dxa" w:w="4320"/>
            <w:vAlign w:val="top"/>
          </w:tcPr>
          <w:p>
            <w:r/>
            <w:r>
              <w:rPr>
                <w:b w:val="0"/>
                <w:sz w:val="16"/>
              </w:rPr>
              <w:t>PPA price must include capacity obligation/risk.</w:t>
            </w:r>
          </w:p>
        </w:tc>
      </w:tr>
      <w:tr>
        <w:tc>
          <w:tcPr>
            <w:tcW w:type="dxa" w:w="2448"/>
            <w:vAlign w:val="top"/>
          </w:tcPr>
          <w:p>
            <w:r/>
            <w:r>
              <w:rPr>
                <w:b w:val="0"/>
                <w:sz w:val="16"/>
              </w:rPr>
              <w:t>24h fixed block</w:t>
            </w:r>
          </w:p>
        </w:tc>
        <w:tc>
          <w:tcPr>
            <w:tcW w:type="dxa" w:w="5112"/>
            <w:vAlign w:val="top"/>
          </w:tcPr>
          <w:p>
            <w:r/>
            <w:r>
              <w:rPr>
                <w:b w:val="0"/>
                <w:sz w:val="16"/>
              </w:rPr>
              <w:t>A fixed 24h delivery commitment is not equivalent to a solar PPA; it requires firming through BESS and/or market purchases.</w:t>
            </w:r>
          </w:p>
        </w:tc>
        <w:tc>
          <w:tcPr>
            <w:tcW w:type="dxa" w:w="4320"/>
            <w:vAlign w:val="top"/>
          </w:tcPr>
          <w:p>
            <w:r/>
            <w:r>
              <w:rPr>
                <w:b w:val="0"/>
                <w:sz w:val="16"/>
              </w:rPr>
              <w:t>Add shortfall purchase module at PML/PND and track delivery compliance.</w:t>
            </w:r>
          </w:p>
        </w:tc>
      </w:tr>
      <w:tr>
        <w:tc>
          <w:tcPr>
            <w:tcW w:type="dxa" w:w="2448"/>
            <w:vAlign w:val="top"/>
          </w:tcPr>
          <w:p>
            <w:r/>
            <w:r>
              <w:rPr>
                <w:b w:val="0"/>
                <w:sz w:val="16"/>
              </w:rPr>
              <w:t>Clean energy / CELs</w:t>
            </w:r>
          </w:p>
        </w:tc>
        <w:tc>
          <w:tcPr>
            <w:tcW w:type="dxa" w:w="5112"/>
            <w:vAlign w:val="top"/>
          </w:tcPr>
          <w:p>
            <w:r/>
            <w:r>
              <w:rPr>
                <w:b w:val="0"/>
                <w:sz w:val="16"/>
              </w:rPr>
              <w:t>CEL treatment should be reviewed under current CNE/SENER rules and PPA allocation.</w:t>
            </w:r>
          </w:p>
        </w:tc>
        <w:tc>
          <w:tcPr>
            <w:tcW w:type="dxa" w:w="4320"/>
            <w:vAlign w:val="top"/>
          </w:tcPr>
          <w:p>
            <w:r/>
            <w:r>
              <w:rPr>
                <w:b w:val="0"/>
                <w:sz w:val="16"/>
              </w:rPr>
              <w:t>Add optional CEL line only after validation.</w:t>
            </w:r>
          </w:p>
        </w:tc>
      </w:tr>
    </w:tbl>
    <w:p/>
    <w:p>
      <w:pPr>
        <w:pStyle w:val="Heading1"/>
      </w:pPr>
      <w:r>
        <w:t>9. First model specification after regulatory validation</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1F4E79"/>
          </w:tcPr>
          <w:p>
            <w:r/>
            <w:r>
              <w:rPr>
                <w:b/>
                <w:color w:val="FFFFFF"/>
                <w:sz w:val="16"/>
              </w:rPr>
              <w:t>Module</w:t>
            </w:r>
          </w:p>
        </w:tc>
        <w:tc>
          <w:tcPr>
            <w:tcW w:type="dxa" w:w="8352"/>
            <w:vAlign w:val="top"/>
            <w:shd w:fill="1F4E79"/>
          </w:tcPr>
          <w:p>
            <w:r/>
            <w:r>
              <w:rPr>
                <w:b/>
                <w:color w:val="FFFFFF"/>
                <w:sz w:val="16"/>
              </w:rPr>
              <w:t>Function</w:t>
            </w:r>
          </w:p>
        </w:tc>
      </w:tr>
      <w:tr>
        <w:tc>
          <w:tcPr>
            <w:tcW w:type="dxa" w:w="3168"/>
            <w:vAlign w:val="top"/>
          </w:tcPr>
          <w:p>
            <w:r/>
            <w:r>
              <w:rPr>
                <w:b w:val="0"/>
                <w:sz w:val="16"/>
              </w:rPr>
              <w:t>Inputs_Mexico</w:t>
            </w:r>
          </w:p>
        </w:tc>
        <w:tc>
          <w:tcPr>
            <w:tcW w:type="dxa" w:w="8352"/>
            <w:vAlign w:val="top"/>
          </w:tcPr>
          <w:p>
            <w:r/>
            <w:r>
              <w:rPr>
                <w:b w:val="0"/>
                <w:sz w:val="16"/>
              </w:rPr>
              <w:t>Project node, capacity zone, reserve zone, PV MWp/MWac, BESS MW/MWh, RTE, degradation, CAPEX, operating mode, PPA product.</w:t>
            </w:r>
          </w:p>
        </w:tc>
      </w:tr>
      <w:tr>
        <w:tc>
          <w:tcPr>
            <w:tcW w:type="dxa" w:w="3168"/>
            <w:vAlign w:val="top"/>
          </w:tcPr>
          <w:p>
            <w:r/>
            <w:r>
              <w:rPr>
                <w:b w:val="0"/>
                <w:sz w:val="16"/>
              </w:rPr>
              <w:t>CENACE_Data</w:t>
            </w:r>
          </w:p>
        </w:tc>
        <w:tc>
          <w:tcPr>
            <w:tcW w:type="dxa" w:w="8352"/>
            <w:vAlign w:val="top"/>
          </w:tcPr>
          <w:p>
            <w:r/>
            <w:r>
              <w:rPr>
                <w:b w:val="0"/>
                <w:sz w:val="16"/>
              </w:rPr>
              <w:t>Hourly PML MDA/MTR, PML components, PND, PSC, official critical hours, node catalog.</w:t>
            </w:r>
          </w:p>
        </w:tc>
      </w:tr>
      <w:tr>
        <w:tc>
          <w:tcPr>
            <w:tcW w:type="dxa" w:w="3168"/>
            <w:vAlign w:val="top"/>
          </w:tcPr>
          <w:p>
            <w:r/>
            <w:r>
              <w:rPr>
                <w:b w:val="0"/>
                <w:sz w:val="16"/>
              </w:rPr>
              <w:t>Dispatch_8760</w:t>
            </w:r>
          </w:p>
        </w:tc>
        <w:tc>
          <w:tcPr>
            <w:tcW w:type="dxa" w:w="8352"/>
            <w:vAlign w:val="top"/>
          </w:tcPr>
          <w:p>
            <w:r/>
            <w:r>
              <w:rPr>
                <w:b w:val="0"/>
                <w:sz w:val="16"/>
              </w:rPr>
              <w:t>PV generation, PV-to-grid, PV-to-BESS, grid-to-BESS if allowed, BESS charge/discharge, SoC, curtailment, instruction overrides.</w:t>
            </w:r>
          </w:p>
        </w:tc>
      </w:tr>
      <w:tr>
        <w:tc>
          <w:tcPr>
            <w:tcW w:type="dxa" w:w="3168"/>
            <w:vAlign w:val="top"/>
          </w:tcPr>
          <w:p>
            <w:r/>
            <w:r>
              <w:rPr>
                <w:b w:val="0"/>
                <w:sz w:val="16"/>
              </w:rPr>
              <w:t>Capacity_MBP</w:t>
            </w:r>
          </w:p>
        </w:tc>
        <w:tc>
          <w:tcPr>
            <w:tcW w:type="dxa" w:w="8352"/>
            <w:vAlign w:val="top"/>
          </w:tcPr>
          <w:p>
            <w:r/>
            <w:r>
              <w:rPr>
                <w:b w:val="0"/>
                <w:sz w:val="16"/>
              </w:rPr>
              <w:t>100 critical-hour recognition and capacity obligation/exposure.</w:t>
            </w:r>
          </w:p>
        </w:tc>
      </w:tr>
      <w:tr>
        <w:tc>
          <w:tcPr>
            <w:tcW w:type="dxa" w:w="3168"/>
            <w:vAlign w:val="top"/>
          </w:tcPr>
          <w:p>
            <w:r/>
            <w:r>
              <w:rPr>
                <w:b w:val="0"/>
                <w:sz w:val="16"/>
              </w:rPr>
              <w:t>Ancillary_PSC</w:t>
            </w:r>
          </w:p>
        </w:tc>
        <w:tc>
          <w:tcPr>
            <w:tcW w:type="dxa" w:w="8352"/>
            <w:vAlign w:val="top"/>
          </w:tcPr>
          <w:p>
            <w:r/>
            <w:r>
              <w:rPr>
                <w:b w:val="0"/>
                <w:sz w:val="16"/>
              </w:rPr>
              <w:t>Optional hourly PSC revenue if eligible.</w:t>
            </w:r>
          </w:p>
        </w:tc>
      </w:tr>
      <w:tr>
        <w:tc>
          <w:tcPr>
            <w:tcW w:type="dxa" w:w="3168"/>
            <w:vAlign w:val="top"/>
          </w:tcPr>
          <w:p>
            <w:r/>
            <w:r>
              <w:rPr>
                <w:b w:val="0"/>
                <w:sz w:val="16"/>
              </w:rPr>
              <w:t>PPA_24h</w:t>
            </w:r>
          </w:p>
        </w:tc>
        <w:tc>
          <w:tcPr>
            <w:tcW w:type="dxa" w:w="8352"/>
            <w:vAlign w:val="top"/>
          </w:tcPr>
          <w:p>
            <w:r/>
            <w:r>
              <w:rPr>
                <w:b w:val="0"/>
                <w:sz w:val="16"/>
              </w:rPr>
              <w:t>Fixed block or shaped delivery, shortfall purchases, surplus merchant sales, basis risk, capacity-risk allocation.</w:t>
            </w:r>
          </w:p>
        </w:tc>
      </w:tr>
      <w:tr>
        <w:tc>
          <w:tcPr>
            <w:tcW w:type="dxa" w:w="3168"/>
            <w:vAlign w:val="top"/>
          </w:tcPr>
          <w:p>
            <w:r/>
            <w:r>
              <w:rPr>
                <w:b w:val="0"/>
                <w:sz w:val="16"/>
              </w:rPr>
              <w:t>Revenue_Stack</w:t>
            </w:r>
          </w:p>
        </w:tc>
        <w:tc>
          <w:tcPr>
            <w:tcW w:type="dxa" w:w="8352"/>
            <w:vAlign w:val="top"/>
          </w:tcPr>
          <w:p>
            <w:r/>
            <w:r>
              <w:rPr>
                <w:b w:val="0"/>
                <w:sz w:val="16"/>
              </w:rPr>
              <w:t>Energy merchant/PPA + capacity + ancillary + CEL if validated.</w:t>
            </w:r>
          </w:p>
        </w:tc>
      </w:tr>
      <w:tr>
        <w:tc>
          <w:tcPr>
            <w:tcW w:type="dxa" w:w="3168"/>
            <w:vAlign w:val="top"/>
          </w:tcPr>
          <w:p>
            <w:r/>
            <w:r>
              <w:rPr>
                <w:b w:val="0"/>
                <w:sz w:val="16"/>
              </w:rPr>
              <w:t>Scenario_Manager</w:t>
            </w:r>
          </w:p>
        </w:tc>
        <w:tc>
          <w:tcPr>
            <w:tcW w:type="dxa" w:w="8352"/>
            <w:vAlign w:val="top"/>
          </w:tcPr>
          <w:p>
            <w:r/>
            <w:r>
              <w:rPr>
                <w:b w:val="0"/>
                <w:sz w:val="16"/>
              </w:rPr>
              <w:t>PV-only, PV+BESS 4h/6h/8h, PV-charge only, grid-charge allowed, merchant, PPA, hybrid.</w:t>
            </w:r>
          </w:p>
        </w:tc>
      </w:tr>
    </w:tbl>
    <w:p/>
    <w:p>
      <w:pPr>
        <w:pStyle w:val="Heading1"/>
      </w:pPr>
      <w:r>
        <w:t>10. Validation checklist before coding</w:t>
      </w:r>
    </w:p>
    <w:tbl>
      <w:tblPr>
        <w:tblStyle w:val="TableGrid"/>
        <w:tblW w:type="auto" w:w="0"/>
        <w:jc w:val="center"/>
        <w:tblLook w:firstColumn="1" w:firstRow="1" w:lastColumn="0" w:lastRow="0" w:noHBand="0" w:noVBand="1" w:val="04A0"/>
      </w:tblPr>
      <w:tblGrid>
        <w:gridCol w:w="3408"/>
        <w:gridCol w:w="3408"/>
        <w:gridCol w:w="3408"/>
      </w:tblGrid>
      <w:tr>
        <w:tc>
          <w:tcPr>
            <w:tcW w:type="dxa" w:w="504"/>
            <w:vAlign w:val="top"/>
            <w:shd w:fill="1F4E79"/>
          </w:tcPr>
          <w:p>
            <w:r/>
            <w:r>
              <w:rPr>
                <w:b/>
                <w:color w:val="FFFFFF"/>
                <w:sz w:val="16"/>
              </w:rPr>
              <w:t>#</w:t>
            </w:r>
          </w:p>
        </w:tc>
        <w:tc>
          <w:tcPr>
            <w:tcW w:type="dxa" w:w="7920"/>
            <w:vAlign w:val="top"/>
            <w:shd w:fill="1F4E79"/>
          </w:tcPr>
          <w:p>
            <w:r/>
            <w:r>
              <w:rPr>
                <w:b/>
                <w:color w:val="FFFFFF"/>
                <w:sz w:val="16"/>
              </w:rPr>
              <w:t>Question to validate</w:t>
            </w:r>
          </w:p>
        </w:tc>
        <w:tc>
          <w:tcPr>
            <w:tcW w:type="dxa" w:w="2880"/>
            <w:vAlign w:val="top"/>
            <w:shd w:fill="1F4E79"/>
          </w:tcPr>
          <w:p>
            <w:r/>
            <w:r>
              <w:rPr>
                <w:b/>
                <w:color w:val="FFFFFF"/>
                <w:sz w:val="16"/>
              </w:rPr>
              <w:t>Owner</w:t>
            </w:r>
          </w:p>
        </w:tc>
      </w:tr>
      <w:tr>
        <w:tc>
          <w:tcPr>
            <w:tcW w:type="dxa" w:w="504"/>
            <w:vAlign w:val="top"/>
          </w:tcPr>
          <w:p>
            <w:r/>
            <w:r>
              <w:rPr>
                <w:b w:val="0"/>
                <w:sz w:val="16"/>
              </w:rPr>
              <w:t>1</w:t>
            </w:r>
          </w:p>
        </w:tc>
        <w:tc>
          <w:tcPr>
            <w:tcW w:type="dxa" w:w="7920"/>
            <w:vAlign w:val="top"/>
          </w:tcPr>
          <w:p>
            <w:r/>
            <w:r>
              <w:rPr>
                <w:b w:val="0"/>
                <w:sz w:val="16"/>
              </w:rPr>
              <w:t>Identify project site, Sistema Interconectado, NodoP, reserve zone and capacity zone.</w:t>
            </w:r>
          </w:p>
        </w:tc>
        <w:tc>
          <w:tcPr>
            <w:tcW w:type="dxa" w:w="2880"/>
            <w:vAlign w:val="top"/>
          </w:tcPr>
          <w:p>
            <w:r/>
            <w:r>
              <w:rPr>
                <w:b w:val="0"/>
                <w:sz w:val="16"/>
              </w:rPr>
              <w:t>Developer / CENACE</w:t>
            </w:r>
          </w:p>
        </w:tc>
      </w:tr>
      <w:tr>
        <w:tc>
          <w:tcPr>
            <w:tcW w:type="dxa" w:w="504"/>
            <w:vAlign w:val="top"/>
          </w:tcPr>
          <w:p>
            <w:r/>
            <w:r>
              <w:rPr>
                <w:b w:val="0"/>
                <w:sz w:val="16"/>
              </w:rPr>
              <w:t>2</w:t>
            </w:r>
          </w:p>
        </w:tc>
        <w:tc>
          <w:tcPr>
            <w:tcW w:type="dxa" w:w="7920"/>
            <w:vAlign w:val="top"/>
          </w:tcPr>
          <w:p>
            <w:r/>
            <w:r>
              <w:rPr>
                <w:b w:val="0"/>
                <w:sz w:val="16"/>
              </w:rPr>
              <w:t>Confirm storage modality: SAE-CE, SAE no Asociado, SAE-CC or other.</w:t>
            </w:r>
          </w:p>
        </w:tc>
        <w:tc>
          <w:tcPr>
            <w:tcW w:type="dxa" w:w="2880"/>
            <w:vAlign w:val="top"/>
          </w:tcPr>
          <w:p>
            <w:r/>
            <w:r>
              <w:rPr>
                <w:b w:val="0"/>
                <w:sz w:val="16"/>
              </w:rPr>
              <w:t>Legal counsel / CNE</w:t>
            </w:r>
          </w:p>
        </w:tc>
      </w:tr>
      <w:tr>
        <w:tc>
          <w:tcPr>
            <w:tcW w:type="dxa" w:w="504"/>
            <w:vAlign w:val="top"/>
          </w:tcPr>
          <w:p>
            <w:r/>
            <w:r>
              <w:rPr>
                <w:b w:val="0"/>
                <w:sz w:val="16"/>
              </w:rPr>
              <w:t>3</w:t>
            </w:r>
          </w:p>
        </w:tc>
        <w:tc>
          <w:tcPr>
            <w:tcW w:type="dxa" w:w="7920"/>
            <w:vAlign w:val="top"/>
          </w:tcPr>
          <w:p>
            <w:r/>
            <w:r>
              <w:rPr>
                <w:b w:val="0"/>
                <w:sz w:val="16"/>
              </w:rPr>
              <w:t>Confirm whether grid charging is allowed for the selected configuration and how it must be requested in interconnection/conection studies.</w:t>
            </w:r>
          </w:p>
        </w:tc>
        <w:tc>
          <w:tcPr>
            <w:tcW w:type="dxa" w:w="2880"/>
            <w:vAlign w:val="top"/>
          </w:tcPr>
          <w:p>
            <w:r/>
            <w:r>
              <w:rPr>
                <w:b w:val="0"/>
                <w:sz w:val="16"/>
              </w:rPr>
              <w:t>Legal counsel / CENACE</w:t>
            </w:r>
          </w:p>
        </w:tc>
      </w:tr>
      <w:tr>
        <w:tc>
          <w:tcPr>
            <w:tcW w:type="dxa" w:w="504"/>
            <w:vAlign w:val="top"/>
          </w:tcPr>
          <w:p>
            <w:r/>
            <w:r>
              <w:rPr>
                <w:b w:val="0"/>
                <w:sz w:val="16"/>
              </w:rPr>
              <w:t>4</w:t>
            </w:r>
          </w:p>
        </w:tc>
        <w:tc>
          <w:tcPr>
            <w:tcW w:type="dxa" w:w="7920"/>
            <w:vAlign w:val="top"/>
          </w:tcPr>
          <w:p>
            <w:r/>
            <w:r>
              <w:rPr>
                <w:b w:val="0"/>
                <w:sz w:val="16"/>
              </w:rPr>
              <w:t>Confirm permit requirement: new generation permit or modification of existing permit.</w:t>
            </w:r>
          </w:p>
        </w:tc>
        <w:tc>
          <w:tcPr>
            <w:tcW w:type="dxa" w:w="2880"/>
            <w:vAlign w:val="top"/>
          </w:tcPr>
          <w:p>
            <w:r/>
            <w:r>
              <w:rPr>
                <w:b w:val="0"/>
                <w:sz w:val="16"/>
              </w:rPr>
              <w:t>CNE / counsel</w:t>
            </w:r>
          </w:p>
        </w:tc>
      </w:tr>
      <w:tr>
        <w:tc>
          <w:tcPr>
            <w:tcW w:type="dxa" w:w="504"/>
            <w:vAlign w:val="top"/>
          </w:tcPr>
          <w:p>
            <w:r/>
            <w:r>
              <w:rPr>
                <w:b w:val="0"/>
                <w:sz w:val="16"/>
              </w:rPr>
              <w:t>5</w:t>
            </w:r>
          </w:p>
        </w:tc>
        <w:tc>
          <w:tcPr>
            <w:tcW w:type="dxa" w:w="7920"/>
            <w:vAlign w:val="top"/>
          </w:tcPr>
          <w:p>
            <w:r/>
            <w:r>
              <w:rPr>
                <w:b w:val="0"/>
                <w:sz w:val="16"/>
              </w:rPr>
              <w:t>Confirm required studies under MIC, including whether SAE-CE grid charging triggers connection studies.</w:t>
            </w:r>
          </w:p>
        </w:tc>
        <w:tc>
          <w:tcPr>
            <w:tcW w:type="dxa" w:w="2880"/>
            <w:vAlign w:val="top"/>
          </w:tcPr>
          <w:p>
            <w:r/>
            <w:r>
              <w:rPr>
                <w:b w:val="0"/>
                <w:sz w:val="16"/>
              </w:rPr>
              <w:t>CENACE / engineer</w:t>
            </w:r>
          </w:p>
        </w:tc>
      </w:tr>
      <w:tr>
        <w:tc>
          <w:tcPr>
            <w:tcW w:type="dxa" w:w="504"/>
            <w:vAlign w:val="top"/>
          </w:tcPr>
          <w:p>
            <w:r/>
            <w:r>
              <w:rPr>
                <w:b w:val="0"/>
                <w:sz w:val="16"/>
              </w:rPr>
              <w:t>6</w:t>
            </w:r>
          </w:p>
        </w:tc>
        <w:tc>
          <w:tcPr>
            <w:tcW w:type="dxa" w:w="7920"/>
            <w:vAlign w:val="top"/>
          </w:tcPr>
          <w:p>
            <w:r/>
            <w:r>
              <w:rPr>
                <w:b w:val="0"/>
                <w:sz w:val="16"/>
              </w:rPr>
              <w:t>Confirm treatment of BESS capacity under MBP after CENACE/CNE implementation changes.</w:t>
            </w:r>
          </w:p>
        </w:tc>
        <w:tc>
          <w:tcPr>
            <w:tcW w:type="dxa" w:w="2880"/>
            <w:vAlign w:val="top"/>
          </w:tcPr>
          <w:p>
            <w:r/>
            <w:r>
              <w:rPr>
                <w:b w:val="0"/>
                <w:sz w:val="16"/>
              </w:rPr>
              <w:t>CENACE / market advisor</w:t>
            </w:r>
          </w:p>
        </w:tc>
      </w:tr>
      <w:tr>
        <w:tc>
          <w:tcPr>
            <w:tcW w:type="dxa" w:w="504"/>
            <w:vAlign w:val="top"/>
          </w:tcPr>
          <w:p>
            <w:r/>
            <w:r>
              <w:rPr>
                <w:b w:val="0"/>
                <w:sz w:val="16"/>
              </w:rPr>
              <w:t>7</w:t>
            </w:r>
          </w:p>
        </w:tc>
        <w:tc>
          <w:tcPr>
            <w:tcW w:type="dxa" w:w="7920"/>
            <w:vAlign w:val="top"/>
          </w:tcPr>
          <w:p>
            <w:r/>
            <w:r>
              <w:rPr>
                <w:b w:val="0"/>
                <w:sz w:val="16"/>
              </w:rPr>
              <w:t>Confirm ancillary-service eligibility and metering/telemetry requirements for BESS.</w:t>
            </w:r>
          </w:p>
        </w:tc>
        <w:tc>
          <w:tcPr>
            <w:tcW w:type="dxa" w:w="2880"/>
            <w:vAlign w:val="top"/>
          </w:tcPr>
          <w:p>
            <w:r/>
            <w:r>
              <w:rPr>
                <w:b w:val="0"/>
                <w:sz w:val="16"/>
              </w:rPr>
              <w:t>CENACE / technical advisor</w:t>
            </w:r>
          </w:p>
        </w:tc>
      </w:tr>
      <w:tr>
        <w:tc>
          <w:tcPr>
            <w:tcW w:type="dxa" w:w="504"/>
            <w:vAlign w:val="top"/>
          </w:tcPr>
          <w:p>
            <w:r/>
            <w:r>
              <w:rPr>
                <w:b w:val="0"/>
                <w:sz w:val="16"/>
              </w:rPr>
              <w:t>8</w:t>
            </w:r>
          </w:p>
        </w:tc>
        <w:tc>
          <w:tcPr>
            <w:tcW w:type="dxa" w:w="7920"/>
            <w:vAlign w:val="top"/>
          </w:tcPr>
          <w:p>
            <w:r/>
            <w:r>
              <w:rPr>
                <w:b w:val="0"/>
                <w:sz w:val="16"/>
              </w:rPr>
              <w:t>Confirm PPA settlement node, PND/PML pass-through, capacity obligation and CEL allocation.</w:t>
            </w:r>
          </w:p>
        </w:tc>
        <w:tc>
          <w:tcPr>
            <w:tcW w:type="dxa" w:w="2880"/>
            <w:vAlign w:val="top"/>
          </w:tcPr>
          <w:p>
            <w:r/>
            <w:r>
              <w:rPr>
                <w:b w:val="0"/>
                <w:sz w:val="16"/>
              </w:rPr>
              <w:t>Offtaker / supplier / counsel</w:t>
            </w:r>
          </w:p>
        </w:tc>
      </w:tr>
      <w:tr>
        <w:tc>
          <w:tcPr>
            <w:tcW w:type="dxa" w:w="504"/>
            <w:vAlign w:val="top"/>
          </w:tcPr>
          <w:p>
            <w:r/>
            <w:r>
              <w:rPr>
                <w:b w:val="0"/>
                <w:sz w:val="16"/>
              </w:rPr>
              <w:t>9</w:t>
            </w:r>
          </w:p>
        </w:tc>
        <w:tc>
          <w:tcPr>
            <w:tcW w:type="dxa" w:w="7920"/>
            <w:vAlign w:val="top"/>
          </w:tcPr>
          <w:p>
            <w:r/>
            <w:r>
              <w:rPr>
                <w:b w:val="0"/>
                <w:sz w:val="16"/>
              </w:rPr>
              <w:t>Confirm market data download source and whether official CENACE files or datos.gob.mx datasets will be used.</w:t>
            </w:r>
          </w:p>
        </w:tc>
        <w:tc>
          <w:tcPr>
            <w:tcW w:type="dxa" w:w="2880"/>
            <w:vAlign w:val="top"/>
          </w:tcPr>
          <w:p>
            <w:r/>
            <w:r>
              <w:rPr>
                <w:b w:val="0"/>
                <w:sz w:val="16"/>
              </w:rPr>
              <w:t>Model developer</w:t>
            </w:r>
          </w:p>
        </w:tc>
      </w:tr>
      <w:tr>
        <w:tc>
          <w:tcPr>
            <w:tcW w:type="dxa" w:w="504"/>
            <w:vAlign w:val="top"/>
          </w:tcPr>
          <w:p>
            <w:r/>
            <w:r>
              <w:rPr>
                <w:b w:val="0"/>
                <w:sz w:val="16"/>
              </w:rPr>
              <w:t>10</w:t>
            </w:r>
          </w:p>
        </w:tc>
        <w:tc>
          <w:tcPr>
            <w:tcW w:type="dxa" w:w="7920"/>
            <w:vAlign w:val="top"/>
          </w:tcPr>
          <w:p>
            <w:r/>
            <w:r>
              <w:rPr>
                <w:b w:val="0"/>
                <w:sz w:val="16"/>
              </w:rPr>
              <w:t>Confirm current laws/regulations superseding or modifying pre-2025 CRE/CENACE practice.</w:t>
            </w:r>
          </w:p>
        </w:tc>
        <w:tc>
          <w:tcPr>
            <w:tcW w:type="dxa" w:w="2880"/>
            <w:vAlign w:val="top"/>
          </w:tcPr>
          <w:p>
            <w:r/>
            <w:r>
              <w:rPr>
                <w:b w:val="0"/>
                <w:sz w:val="16"/>
              </w:rPr>
              <w:t>Mexican counsel</w:t>
            </w:r>
          </w:p>
        </w:tc>
      </w:tr>
    </w:tbl>
    <w:p/>
    <w:p>
      <w:pPr>
        <w:pStyle w:val="Heading1"/>
      </w:pPr>
      <w:r>
        <w:t>11. Source list for validation</w:t>
      </w:r>
    </w:p>
    <w:p>
      <w:pPr>
        <w:spacing w:after="80"/>
      </w:pPr>
      <w:r>
        <w:rPr>
          <w:b/>
          <w:sz w:val="17"/>
        </w:rPr>
        <w:t xml:space="preserve">1. DOF / Acuerdo A/113/2024: </w:t>
      </w:r>
      <w:r>
        <w:rPr>
          <w:sz w:val="17"/>
        </w:rPr>
        <w:t xml:space="preserve">CRE agreement issuing DACG for integration of SAE, published 7 March 2025. </w:t>
      </w:r>
      <w:hyperlink r:id="rId9">
        <w:r>
          <w:rPr>
            <w:color w:val="0563C1"/>
            <w:u w:val="single"/>
          </w:rPr>
          <w:t>Open source</w:t>
        </w:r>
      </w:hyperlink>
    </w:p>
    <w:p>
      <w:pPr>
        <w:spacing w:after="80"/>
      </w:pPr>
      <w:r>
        <w:rPr>
          <w:b/>
          <w:sz w:val="17"/>
        </w:rPr>
        <w:t xml:space="preserve">2. CENACE / MECP: </w:t>
      </w:r>
      <w:r>
        <w:rPr>
          <w:sz w:val="17"/>
        </w:rPr>
        <w:t xml:space="preserve">CENACE page describing Mercado de Energía de Corto Plazo and MDA/MTR sections. </w:t>
      </w:r>
      <w:hyperlink r:id="rId10">
        <w:r>
          <w:rPr>
            <w:color w:val="0563C1"/>
            <w:u w:val="single"/>
          </w:rPr>
          <w:t>Open source</w:t>
        </w:r>
      </w:hyperlink>
    </w:p>
    <w:p>
      <w:pPr>
        <w:spacing w:after="80"/>
      </w:pPr>
      <w:r>
        <w:rPr>
          <w:b/>
          <w:sz w:val="17"/>
        </w:rPr>
        <w:t xml:space="preserve">3. CENACE / PML and PSC MTR: </w:t>
      </w:r>
      <w:r>
        <w:rPr>
          <w:sz w:val="17"/>
        </w:rPr>
        <w:t xml:space="preserve">CENACE page for energy and ancillary-service price reports and republications. </w:t>
      </w:r>
      <w:hyperlink r:id="rId11">
        <w:r>
          <w:rPr>
            <w:color w:val="0563C1"/>
            <w:u w:val="single"/>
          </w:rPr>
          <w:t>Open source</w:t>
        </w:r>
      </w:hyperlink>
    </w:p>
    <w:p>
      <w:pPr>
        <w:spacing w:after="80"/>
      </w:pPr>
      <w:r>
        <w:rPr>
          <w:b/>
          <w:sz w:val="17"/>
        </w:rPr>
        <w:t xml:space="preserve">4. CENACE / Datos Abiertos dictionary: </w:t>
      </w:r>
      <w:r>
        <w:rPr>
          <w:sz w:val="17"/>
        </w:rPr>
        <w:t xml:space="preserve">Defines PML, PND, PSC, hourly calculation and PML components. </w:t>
      </w:r>
      <w:hyperlink r:id="rId12">
        <w:r>
          <w:rPr>
            <w:color w:val="0563C1"/>
            <w:u w:val="single"/>
          </w:rPr>
          <w:t>Open source</w:t>
        </w:r>
      </w:hyperlink>
    </w:p>
    <w:p>
      <w:pPr>
        <w:spacing w:after="80"/>
      </w:pPr>
      <w:r>
        <w:rPr>
          <w:b/>
          <w:sz w:val="17"/>
        </w:rPr>
        <w:t xml:space="preserve">5. CENACE / MBP: </w:t>
      </w:r>
      <w:r>
        <w:rPr>
          <w:sz w:val="17"/>
        </w:rPr>
        <w:t xml:space="preserve">CENACE page describing Mercado para el Balance de Potencia and its three main concepts. </w:t>
      </w:r>
      <w:hyperlink r:id="rId13">
        <w:r>
          <w:rPr>
            <w:color w:val="0563C1"/>
            <w:u w:val="single"/>
          </w:rPr>
          <w:t>Open source</w:t>
        </w:r>
      </w:hyperlink>
    </w:p>
    <w:p>
      <w:pPr>
        <w:spacing w:after="80"/>
      </w:pPr>
      <w:r>
        <w:rPr>
          <w:b/>
          <w:sz w:val="17"/>
        </w:rPr>
        <w:t xml:space="preserve">6. Manual de Mercado de Energía de Corto Plazo: </w:t>
      </w:r>
      <w:r>
        <w:rPr>
          <w:sz w:val="17"/>
        </w:rPr>
        <w:t xml:space="preserve">Manual governing short-term market, offers, dispatch, PML and servicios conexos. </w:t>
      </w:r>
      <w:hyperlink r:id="rId14">
        <w:r>
          <w:rPr>
            <w:color w:val="0563C1"/>
            <w:u w:val="single"/>
          </w:rPr>
          <w:t>Open source</w:t>
        </w:r>
      </w:hyperlink>
    </w:p>
    <w:p>
      <w:pPr>
        <w:spacing w:after="80"/>
      </w:pPr>
      <w:r>
        <w:rPr>
          <w:b/>
          <w:sz w:val="17"/>
        </w:rPr>
        <w:t xml:space="preserve">7. Ley de la Comisión Nacional de Energía: </w:t>
      </w:r>
      <w:r>
        <w:rPr>
          <w:sz w:val="17"/>
        </w:rPr>
        <w:t xml:space="preserve">New CNE law published in March 2025. </w:t>
      </w:r>
      <w:hyperlink r:id="rId15">
        <w:r>
          <w:rPr>
            <w:color w:val="0563C1"/>
            <w:u w:val="single"/>
          </w:rPr>
          <w:t>Open source</w:t>
        </w:r>
      </w:hyperlink>
    </w:p>
    <w:p>
      <w:pPr>
        <w:spacing w:after="80"/>
      </w:pPr>
      <w:r>
        <w:rPr>
          <w:b/>
          <w:sz w:val="17"/>
        </w:rPr>
        <w:t xml:space="preserve">8. Ley del Sector Eléctrico / 2025 package: </w:t>
      </w:r>
      <w:r>
        <w:rPr>
          <w:sz w:val="17"/>
        </w:rPr>
        <w:t xml:space="preserve">New electricity-sector law package published in March 2025. </w:t>
      </w:r>
      <w:hyperlink r:id="rId16">
        <w:r>
          <w:rPr>
            <w:color w:val="0563C1"/>
            <w:u w:val="single"/>
          </w:rPr>
          <w:t>Open source</w:t>
        </w:r>
      </w:hyperlink>
    </w:p>
    <w:p>
      <w:pPr>
        <w:spacing w:after="80"/>
      </w:pPr>
      <w:r>
        <w:rPr>
          <w:b/>
          <w:sz w:val="17"/>
        </w:rPr>
        <w:t xml:space="preserve">9. Ritch Mueller storage note: </w:t>
      </w:r>
      <w:r>
        <w:rPr>
          <w:sz w:val="17"/>
        </w:rPr>
        <w:t xml:space="preserve">Legal commentary summarizing SAE modalities, permit/interconnection points and grid-charging considerations. </w:t>
      </w:r>
      <w:hyperlink r:id="rId17">
        <w:r>
          <w:rPr>
            <w:color w:val="0563C1"/>
            <w:u w:val="single"/>
          </w:rPr>
          <w:t>Open source</w:t>
        </w:r>
      </w:hyperlink>
    </w:p>
    <w:p>
      <w:pPr>
        <w:spacing w:after="80"/>
      </w:pPr>
      <w:r>
        <w:rPr>
          <w:b/>
          <w:sz w:val="17"/>
        </w:rPr>
        <w:t xml:space="preserve">10. Greenberg Traurig / Lexology storage note: </w:t>
      </w:r>
      <w:r>
        <w:rPr>
          <w:sz w:val="17"/>
        </w:rPr>
        <w:t xml:space="preserve">Legal commentary on transitory implementation, SAE market participation and required rule adjustments. </w:t>
      </w:r>
      <w:hyperlink r:id="rId18">
        <w:r>
          <w:rPr>
            <w:color w:val="0563C1"/>
            <w:u w:val="single"/>
          </w:rPr>
          <w:t>Open source</w:t>
        </w:r>
      </w:hyperlink>
    </w:p>
    <w:p>
      <w:pPr>
        <w:spacing w:after="80"/>
      </w:pPr>
      <w:r>
        <w:rPr>
          <w:b/>
          <w:sz w:val="17"/>
        </w:rPr>
        <w:t xml:space="preserve">11. GME / Capacity Balance Market 2024: </w:t>
      </w:r>
      <w:r>
        <w:rPr>
          <w:sz w:val="17"/>
        </w:rPr>
        <w:t xml:space="preserve">Market analysis explaining 100 critical hours and 2023 critical-hour timing. </w:t>
      </w:r>
      <w:hyperlink r:id="rId19">
        <w:r>
          <w:rPr>
            <w:color w:val="0563C1"/>
            <w:u w:val="single"/>
          </w:rPr>
          <w:t>Open source</w:t>
        </w:r>
      </w:hyperlink>
    </w:p>
    <w:p>
      <w:r>
        <w:br w:type="page"/>
      </w:r>
    </w:p>
    <w:p>
      <w:pPr>
        <w:pStyle w:val="Heading1"/>
      </w:pPr>
      <w:r>
        <w:rPr>
          <w:color w:val="1F4E79"/>
        </w:rPr>
        <w:t>Annex 2 - CFE Mixed Development / PV+BESS PPA Structure for Validation</w:t>
      </w:r>
    </w:p>
    <w:p>
      <w:pPr>
        <w:spacing w:after="120"/>
      </w:pPr>
      <w:r>
        <w:t>Purpose: This annex adds the proposed PPA / investment-contract structure for the recent CFE mixed-development renewable + storage process, so it can be validated before coding the Mexico optimizer.</w:t>
      </w:r>
    </w:p>
    <w:tbl>
      <w:tblPr>
        <w:tblStyle w:val="TableGrid"/>
        <w:tblW w:type="auto" w:w="0"/>
        <w:jc w:val="center"/>
        <w:tblLook w:firstColumn="1" w:firstRow="1" w:lastColumn="0" w:lastRow="0" w:noHBand="0" w:noVBand="1" w:val="04A0"/>
      </w:tblPr>
      <w:tblGrid>
        <w:gridCol w:w="10224"/>
      </w:tblGrid>
      <w:tr>
        <w:tc>
          <w:tcPr>
            <w:tcW w:type="dxa" w:w="9360"/>
            <w:shd w:fill="FFF2CC"/>
            <w:vAlign w:val="top"/>
          </w:tcPr>
          <w:p>
            <w:pPr>
              <w:spacing w:after="0" w:before="0"/>
            </w:pPr>
            <w:r/>
            <w:r>
              <w:rPr>
                <w:b/>
              </w:rPr>
              <w:t>Validation status: the official Ventanilla Energia page confirms the CFE/SENER Convocatoria materials, including presentation, registration forms, lineamientos and FAQs. Public legal and market summaries describe the proposed PPA structure. However, the definitive executable PPA / Contrato de Inversion Mixta and project-specific Solicitud de Propuesta should be obtained from the official CFE/SENER repository or directly from the process before using these assumptions for an investment model.</w:t>
            </w:r>
          </w:p>
        </w:tc>
      </w:tr>
    </w:tbl>
    <w:p>
      <w:pPr>
        <w:pStyle w:val="Heading2"/>
      </w:pPr>
      <w:r>
        <w:rPr>
          <w:color w:val="1F4E79"/>
        </w:rPr>
        <w:t>A. Official framework and public process</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top"/>
          </w:tcPr>
          <w:p>
            <w:pPr>
              <w:spacing w:after="0" w:before="0"/>
            </w:pPr>
            <w:r/>
            <w:r>
              <w:rPr>
                <w:b/>
                <w:color w:val="FFFFFF"/>
              </w:rPr>
              <w:t>Item</w:t>
            </w:r>
          </w:p>
        </w:tc>
        <w:tc>
          <w:tcPr>
            <w:tcW w:type="dxa" w:w="6768"/>
            <w:shd w:fill="1F4E79"/>
            <w:vAlign w:val="top"/>
          </w:tcPr>
          <w:p>
            <w:pPr>
              <w:spacing w:after="0" w:before="0"/>
            </w:pPr>
            <w:r/>
            <w:r>
              <w:rPr>
                <w:b/>
                <w:color w:val="FFFFFF"/>
              </w:rPr>
              <w:t>Validation note</w:t>
            </w:r>
          </w:p>
        </w:tc>
      </w:tr>
      <w:tr>
        <w:tc>
          <w:tcPr>
            <w:tcW w:type="dxa" w:w="2592"/>
            <w:vAlign w:val="top"/>
          </w:tcPr>
          <w:p>
            <w:pPr>
              <w:spacing w:after="0" w:before="0"/>
            </w:pPr>
            <w:r/>
            <w:r>
              <w:rPr>
                <w:b/>
              </w:rPr>
              <w:t>Public call</w:t>
            </w:r>
          </w:p>
        </w:tc>
        <w:tc>
          <w:tcPr>
            <w:tcW w:type="dxa" w:w="6768"/>
            <w:vAlign w:val="top"/>
          </w:tcPr>
          <w:p>
            <w:pPr>
              <w:spacing w:after="0" w:before="0"/>
            </w:pPr>
            <w:r/>
            <w:r>
              <w:rPr>
                <w:b w:val="0"/>
              </w:rPr>
              <w:t>CFE and SENER presented the Convocatoria para Esquemas de Desarrollo Mixto CFE on 6 February 2026 to receive interest for renewable generation projects in regions with identified capacity needs.</w:t>
            </w:r>
          </w:p>
        </w:tc>
      </w:tr>
      <w:tr>
        <w:tc>
          <w:tcPr>
            <w:tcW w:type="dxa" w:w="2592"/>
            <w:vAlign w:val="top"/>
          </w:tcPr>
          <w:p>
            <w:pPr>
              <w:spacing w:after="0" w:before="0"/>
            </w:pPr>
            <w:r/>
            <w:r>
              <w:rPr>
                <w:b/>
              </w:rPr>
              <w:t>Official materials</w:t>
            </w:r>
          </w:p>
        </w:tc>
        <w:tc>
          <w:tcPr>
            <w:tcW w:type="dxa" w:w="6768"/>
            <w:vAlign w:val="top"/>
          </w:tcPr>
          <w:p>
            <w:pPr>
              <w:spacing w:after="0" w:before="0"/>
            </w:pPr>
            <w:r/>
            <w:r>
              <w:rPr>
                <w:b w:val="0"/>
              </w:rPr>
              <w:t>The Ventanilla Energia notice lists the support folder for the process, including: presentation of the Convocatoria, registration forms, Lineamientos, and FAQs. The notice also records a new registration date of 3 March 2026.</w:t>
            </w:r>
          </w:p>
        </w:tc>
      </w:tr>
      <w:tr>
        <w:tc>
          <w:tcPr>
            <w:tcW w:type="dxa" w:w="2592"/>
            <w:vAlign w:val="top"/>
          </w:tcPr>
          <w:p>
            <w:pPr>
              <w:spacing w:after="0" w:before="0"/>
            </w:pPr>
            <w:r/>
            <w:r>
              <w:rPr>
                <w:b/>
              </w:rPr>
              <w:t>Binding CFE framework</w:t>
            </w:r>
          </w:p>
        </w:tc>
        <w:tc>
          <w:tcPr>
            <w:tcW w:type="dxa" w:w="6768"/>
            <w:vAlign w:val="top"/>
          </w:tcPr>
          <w:p>
            <w:pPr>
              <w:spacing w:after="0" w:before="0"/>
            </w:pPr>
            <w:r/>
            <w:r>
              <w:rPr>
                <w:b w:val="0"/>
              </w:rPr>
              <w:t>The Lineamientos de los Esquemas para el Desarrollo Mixto were published in the DOF on 28 January 2026 and establish the rules CFE must follow to prepare, approve, select and execute mixed-development projects.</w:t>
            </w:r>
          </w:p>
        </w:tc>
      </w:tr>
      <w:tr>
        <w:tc>
          <w:tcPr>
            <w:tcW w:type="dxa" w:w="2592"/>
            <w:vAlign w:val="top"/>
          </w:tcPr>
          <w:p>
            <w:pPr>
              <w:spacing w:after="0" w:before="0"/>
            </w:pPr>
            <w:r/>
            <w:r>
              <w:rPr>
                <w:b/>
              </w:rPr>
              <w:t>Contract route</w:t>
            </w:r>
          </w:p>
        </w:tc>
        <w:tc>
          <w:tcPr>
            <w:tcW w:type="dxa" w:w="6768"/>
            <w:vAlign w:val="top"/>
          </w:tcPr>
          <w:p>
            <w:pPr>
              <w:spacing w:after="0" w:before="0"/>
            </w:pPr>
            <w:r/>
            <w:r>
              <w:rPr>
                <w:b w:val="0"/>
              </w:rPr>
              <w:t>The Lineamientos define the Contrato o Instrumento Juridico as the document governing execution and operation of the mixed-development project, and require the Documento Soporte to include the corresponding model contract or legal instrument.</w:t>
            </w:r>
          </w:p>
        </w:tc>
      </w:tr>
      <w:tr>
        <w:tc>
          <w:tcPr>
            <w:tcW w:type="dxa" w:w="2592"/>
            <w:vAlign w:val="top"/>
          </w:tcPr>
          <w:p>
            <w:pPr>
              <w:spacing w:after="0" w:before="0"/>
            </w:pPr>
            <w:r/>
            <w:r>
              <w:rPr>
                <w:b/>
              </w:rPr>
              <w:t>Storage eligibility</w:t>
            </w:r>
          </w:p>
        </w:tc>
        <w:tc>
          <w:tcPr>
            <w:tcW w:type="dxa" w:w="6768"/>
            <w:vAlign w:val="top"/>
          </w:tcPr>
          <w:p>
            <w:pPr>
              <w:spacing w:after="0" w:before="0"/>
            </w:pPr>
            <w:r/>
            <w:r>
              <w:rPr>
                <w:b w:val="0"/>
              </w:rPr>
              <w:t>The Lineamientos define Projects as central electric plants that may include associated infrastructure, accessory works, electrical energy storage, and associated products needed for system stability.</w:t>
            </w:r>
          </w:p>
        </w:tc>
      </w:tr>
    </w:tbl>
    <w:p>
      <w:pPr>
        <w:pStyle w:val="Heading2"/>
      </w:pPr>
      <w:r>
        <w:rPr>
          <w:color w:val="1F4E79"/>
        </w:rPr>
        <w:t>B. Proposed PPA / offtake structure reported for the CFE mixed-development auction</w:t>
      </w:r>
    </w:p>
    <w:p>
      <w:pPr>
        <w:spacing w:after="120"/>
      </w:pPr>
      <w:r>
        <w:t>The following points are the working contract assumptions to validate. They should be treated as a term-sheet reconstruction, not a substitute for the executed contract.</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before="0"/>
            </w:pPr>
            <w:r/>
            <w:r>
              <w:rPr>
                <w:b/>
                <w:color w:val="FFFFFF"/>
              </w:rPr>
              <w:t>Term</w:t>
            </w:r>
          </w:p>
        </w:tc>
        <w:tc>
          <w:tcPr>
            <w:tcW w:type="dxa" w:w="6480"/>
            <w:shd w:fill="1F4E79"/>
            <w:vAlign w:val="top"/>
          </w:tcPr>
          <w:p>
            <w:pPr>
              <w:spacing w:after="0" w:before="0"/>
            </w:pPr>
            <w:r/>
            <w:r>
              <w:rPr>
                <w:b/>
                <w:color w:val="FFFFFF"/>
              </w:rPr>
              <w:t>Preliminary interpretation for the model</w:t>
            </w:r>
          </w:p>
        </w:tc>
      </w:tr>
      <w:tr>
        <w:tc>
          <w:tcPr>
            <w:tcW w:type="dxa" w:w="2880"/>
            <w:vAlign w:val="top"/>
          </w:tcPr>
          <w:p>
            <w:pPr>
              <w:spacing w:after="0" w:before="0"/>
            </w:pPr>
            <w:r/>
            <w:r>
              <w:rPr>
                <w:b/>
              </w:rPr>
              <w:t>Buyer / offtaker</w:t>
            </w:r>
          </w:p>
        </w:tc>
        <w:tc>
          <w:tcPr>
            <w:tcW w:type="dxa" w:w="6480"/>
            <w:vAlign w:val="top"/>
          </w:tcPr>
          <w:p>
            <w:pPr>
              <w:spacing w:after="0" w:before="0"/>
            </w:pPr>
            <w:r/>
            <w:r>
              <w:rPr>
                <w:b w:val="0"/>
              </w:rPr>
              <w:t>70% of produced energy is reported to be acquired by CFE-related suppliers: Suministrador de Servicios Basicos and Suministrador de Servicios Calificados.</w:t>
            </w:r>
          </w:p>
        </w:tc>
      </w:tr>
      <w:tr>
        <w:tc>
          <w:tcPr>
            <w:tcW w:type="dxa" w:w="2880"/>
            <w:vAlign w:val="top"/>
          </w:tcPr>
          <w:p>
            <w:pPr>
              <w:spacing w:after="0" w:before="0"/>
            </w:pPr>
            <w:r/>
            <w:r>
              <w:rPr>
                <w:b/>
              </w:rPr>
              <w:t>Merchant / third-party tranche</w:t>
            </w:r>
          </w:p>
        </w:tc>
        <w:tc>
          <w:tcPr>
            <w:tcW w:type="dxa" w:w="6480"/>
            <w:vAlign w:val="top"/>
          </w:tcPr>
          <w:p>
            <w:pPr>
              <w:spacing w:after="0" w:before="0"/>
            </w:pPr>
            <w:r/>
            <w:r>
              <w:rPr>
                <w:b w:val="0"/>
              </w:rPr>
              <w:t>The remaining 30% is reported to be sold into the Mercado Electrico Mayorista or to a third party. Some summaries indicate CFE would represent the project in the MEM for this portion.</w:t>
            </w:r>
          </w:p>
        </w:tc>
      </w:tr>
      <w:tr>
        <w:tc>
          <w:tcPr>
            <w:tcW w:type="dxa" w:w="2880"/>
            <w:vAlign w:val="top"/>
          </w:tcPr>
          <w:p>
            <w:pPr>
              <w:spacing w:after="0" w:before="0"/>
            </w:pPr>
            <w:r/>
            <w:r>
              <w:rPr>
                <w:b/>
              </w:rPr>
              <w:t>Contract term</w:t>
            </w:r>
          </w:p>
        </w:tc>
        <w:tc>
          <w:tcPr>
            <w:tcW w:type="dxa" w:w="6480"/>
            <w:vAlign w:val="top"/>
          </w:tcPr>
          <w:p>
            <w:pPr>
              <w:spacing w:after="0" w:before="0"/>
            </w:pPr>
            <w:r/>
            <w:r>
              <w:rPr>
                <w:b w:val="0"/>
              </w:rPr>
              <w:t>The PPA / long-term offtake is reported as having a 25-year term.</w:t>
            </w:r>
          </w:p>
        </w:tc>
      </w:tr>
      <w:tr>
        <w:tc>
          <w:tcPr>
            <w:tcW w:type="dxa" w:w="2880"/>
            <w:vAlign w:val="top"/>
          </w:tcPr>
          <w:p>
            <w:pPr>
              <w:spacing w:after="0" w:before="0"/>
            </w:pPr>
            <w:r/>
            <w:r>
              <w:rPr>
                <w:b/>
              </w:rPr>
              <w:t>Price</w:t>
            </w:r>
          </w:p>
        </w:tc>
        <w:tc>
          <w:tcPr>
            <w:tcW w:type="dxa" w:w="6480"/>
            <w:vAlign w:val="top"/>
          </w:tcPr>
          <w:p>
            <w:pPr>
              <w:spacing w:after="0" w:before="0"/>
            </w:pPr>
            <w:r/>
            <w:r>
              <w:rPr>
                <w:b w:val="0"/>
              </w:rPr>
              <w:t>Public summaries refer to a long-term PPA and, in some market commentary, to a fixed price. The actual price formula, indexation, curtailment treatment, congestion/loss allocation and currency should be validated from the official contract.</w:t>
            </w:r>
          </w:p>
        </w:tc>
      </w:tr>
      <w:tr>
        <w:tc>
          <w:tcPr>
            <w:tcW w:type="dxa" w:w="2880"/>
            <w:vAlign w:val="top"/>
          </w:tcPr>
          <w:p>
            <w:pPr>
              <w:spacing w:after="0" w:before="0"/>
            </w:pPr>
            <w:r/>
            <w:r>
              <w:rPr>
                <w:b/>
              </w:rPr>
              <w:t>BESS treatment</w:t>
            </w:r>
          </w:p>
        </w:tc>
        <w:tc>
          <w:tcPr>
            <w:tcW w:type="dxa" w:w="6480"/>
            <w:vAlign w:val="top"/>
          </w:tcPr>
          <w:p>
            <w:pPr>
              <w:spacing w:after="0" w:before="0"/>
            </w:pPr>
            <w:r/>
            <w:r>
              <w:rPr>
                <w:b w:val="0"/>
              </w:rPr>
              <w:t>The storage component is reported to be under a tolling scheme with CFE. This is critical for the optimizer because it may mean BESS is paid for availability/capacity/service rather than only merchant arbitrage.</w:t>
            </w:r>
          </w:p>
        </w:tc>
      </w:tr>
      <w:tr>
        <w:tc>
          <w:tcPr>
            <w:tcW w:type="dxa" w:w="2880"/>
            <w:vAlign w:val="top"/>
          </w:tcPr>
          <w:p>
            <w:pPr>
              <w:spacing w:after="0" w:before="0"/>
            </w:pPr>
            <w:r/>
            <w:r>
              <w:rPr>
                <w:b/>
              </w:rPr>
              <w:t>Energy products</w:t>
            </w:r>
          </w:p>
        </w:tc>
        <w:tc>
          <w:tcPr>
            <w:tcW w:type="dxa" w:w="6480"/>
            <w:vAlign w:val="top"/>
          </w:tcPr>
          <w:p>
            <w:pPr>
              <w:spacing w:after="0" w:before="0"/>
            </w:pPr>
            <w:r/>
            <w:r>
              <w:rPr>
                <w:b w:val="0"/>
              </w:rPr>
              <w:t>The contract appears to cover electricity and potentially Productos Asociados, but the exact split between energy, capacity/potency, CELs, ancillary services and storage tolling must be confirmed.</w:t>
            </w:r>
          </w:p>
        </w:tc>
      </w:tr>
      <w:tr>
        <w:tc>
          <w:tcPr>
            <w:tcW w:type="dxa" w:w="2880"/>
            <w:vAlign w:val="top"/>
          </w:tcPr>
          <w:p>
            <w:pPr>
              <w:spacing w:after="0" w:before="0"/>
            </w:pPr>
            <w:r/>
            <w:r>
              <w:rPr>
                <w:b/>
              </w:rPr>
              <w:t>Model consequence</w:t>
            </w:r>
          </w:p>
        </w:tc>
        <w:tc>
          <w:tcPr>
            <w:tcW w:type="dxa" w:w="6480"/>
            <w:vAlign w:val="top"/>
          </w:tcPr>
          <w:p>
            <w:pPr>
              <w:spacing w:after="0" w:before="0"/>
            </w:pPr>
            <w:r/>
            <w:r>
              <w:rPr>
                <w:b w:val="0"/>
              </w:rPr>
              <w:t>The Mexico optimizer should not assume 100% merchant dispatch. It needs at least three buckets: 70% contracted offtake, 30% merchant/third-party, and a separate BESS tolling/availability revenue line.</w:t>
            </w:r>
          </w:p>
        </w:tc>
      </w:tr>
    </w:tbl>
    <w:p>
      <w:pPr>
        <w:pStyle w:val="Heading2"/>
      </w:pPr>
      <w:r>
        <w:rPr>
          <w:color w:val="1F4E79"/>
        </w:rPr>
        <w:t>C. Corporate / investment vehicle structure</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before="0"/>
            </w:pPr>
            <w:r/>
            <w:r>
              <w:rPr>
                <w:b/>
                <w:color w:val="FFFFFF"/>
              </w:rPr>
              <w:t>Element</w:t>
            </w:r>
          </w:p>
        </w:tc>
        <w:tc>
          <w:tcPr>
            <w:tcW w:type="dxa" w:w="6480"/>
            <w:shd w:fill="1F4E79"/>
            <w:vAlign w:val="top"/>
          </w:tcPr>
          <w:p>
            <w:pPr>
              <w:spacing w:after="0" w:before="0"/>
            </w:pPr>
            <w:r/>
            <w:r>
              <w:rPr>
                <w:b/>
                <w:color w:val="FFFFFF"/>
              </w:rPr>
              <w:t>Reported structure / validation issue</w:t>
            </w:r>
          </w:p>
        </w:tc>
      </w:tr>
      <w:tr>
        <w:tc>
          <w:tcPr>
            <w:tcW w:type="dxa" w:w="2880"/>
            <w:vAlign w:val="top"/>
          </w:tcPr>
          <w:p>
            <w:pPr>
              <w:spacing w:after="0" w:before="0"/>
            </w:pPr>
            <w:r/>
            <w:r>
              <w:rPr>
                <w:b/>
              </w:rPr>
              <w:t>Vehicle</w:t>
            </w:r>
          </w:p>
        </w:tc>
        <w:tc>
          <w:tcPr>
            <w:tcW w:type="dxa" w:w="6480"/>
            <w:vAlign w:val="top"/>
          </w:tcPr>
          <w:p>
            <w:pPr>
              <w:spacing w:after="0" w:before="0"/>
            </w:pPr>
            <w:r/>
            <w:r>
              <w:rPr>
                <w:b w:val="0"/>
              </w:rPr>
              <w:t>Public summaries describe a Mexican trust / fideicomiso structure.</w:t>
            </w:r>
          </w:p>
        </w:tc>
      </w:tr>
      <w:tr>
        <w:tc>
          <w:tcPr>
            <w:tcW w:type="dxa" w:w="2880"/>
            <w:vAlign w:val="top"/>
          </w:tcPr>
          <w:p>
            <w:pPr>
              <w:spacing w:after="0" w:before="0"/>
            </w:pPr>
            <w:r/>
            <w:r>
              <w:rPr>
                <w:b/>
              </w:rPr>
              <w:t>CFE participation</w:t>
            </w:r>
          </w:p>
        </w:tc>
        <w:tc>
          <w:tcPr>
            <w:tcW w:type="dxa" w:w="6480"/>
            <w:vAlign w:val="top"/>
          </w:tcPr>
          <w:p>
            <w:pPr>
              <w:spacing w:after="0" w:before="0"/>
            </w:pPr>
            <w:r/>
            <w:r>
              <w:rPr>
                <w:b w:val="0"/>
              </w:rPr>
              <w:t>CFE is described as holding 54% participation, with common rights / derechos comunes.</w:t>
            </w:r>
          </w:p>
        </w:tc>
      </w:tr>
      <w:tr>
        <w:tc>
          <w:tcPr>
            <w:tcW w:type="dxa" w:w="2880"/>
            <w:vAlign w:val="top"/>
          </w:tcPr>
          <w:p>
            <w:pPr>
              <w:spacing w:after="0" w:before="0"/>
            </w:pPr>
            <w:r/>
            <w:r>
              <w:rPr>
                <w:b/>
              </w:rPr>
              <w:t>Private participation</w:t>
            </w:r>
          </w:p>
        </w:tc>
        <w:tc>
          <w:tcPr>
            <w:tcW w:type="dxa" w:w="6480"/>
            <w:vAlign w:val="top"/>
          </w:tcPr>
          <w:p>
            <w:pPr>
              <w:spacing w:after="0" w:before="0"/>
            </w:pPr>
            <w:r/>
            <w:r>
              <w:rPr>
                <w:b w:val="0"/>
              </w:rPr>
              <w:t>The private sponsor is described as holding 46% participation, with preferred rights / derechos preferentes.</w:t>
            </w:r>
          </w:p>
        </w:tc>
      </w:tr>
      <w:tr>
        <w:tc>
          <w:tcPr>
            <w:tcW w:type="dxa" w:w="2880"/>
            <w:vAlign w:val="top"/>
          </w:tcPr>
          <w:p>
            <w:pPr>
              <w:spacing w:after="0" w:before="0"/>
            </w:pPr>
            <w:r/>
            <w:r>
              <w:rPr>
                <w:b/>
              </w:rPr>
              <w:t>CFE contribution</w:t>
            </w:r>
          </w:p>
        </w:tc>
        <w:tc>
          <w:tcPr>
            <w:tcW w:type="dxa" w:w="6480"/>
            <w:vAlign w:val="top"/>
          </w:tcPr>
          <w:p>
            <w:pPr>
              <w:spacing w:after="0" w:before="0"/>
            </w:pPr>
            <w:r/>
            <w:r>
              <w:rPr>
                <w:b w:val="0"/>
              </w:rPr>
              <w:t>CFE contribution may include tangible and intangible assets: land, long-term energy purchase contract / PPA, and support with permits and approvals.</w:t>
            </w:r>
          </w:p>
        </w:tc>
      </w:tr>
      <w:tr>
        <w:tc>
          <w:tcPr>
            <w:tcW w:type="dxa" w:w="2880"/>
            <w:vAlign w:val="top"/>
          </w:tcPr>
          <w:p>
            <w:pPr>
              <w:spacing w:after="0" w:before="0"/>
            </w:pPr>
            <w:r/>
            <w:r>
              <w:rPr>
                <w:b/>
              </w:rPr>
              <w:t>Private contribution</w:t>
            </w:r>
          </w:p>
        </w:tc>
        <w:tc>
          <w:tcPr>
            <w:tcW w:type="dxa" w:w="6480"/>
            <w:vAlign w:val="top"/>
          </w:tcPr>
          <w:p>
            <w:pPr>
              <w:spacing w:after="0" w:before="0"/>
            </w:pPr>
            <w:r/>
            <w:r>
              <w:rPr>
                <w:b w:val="0"/>
              </w:rPr>
              <w:t>The private sponsor is expected to contribute the liquid capital and assume development and construction responsibilities up to commercial operation.</w:t>
            </w:r>
          </w:p>
        </w:tc>
      </w:tr>
      <w:tr>
        <w:tc>
          <w:tcPr>
            <w:tcW w:type="dxa" w:w="2880"/>
            <w:vAlign w:val="top"/>
          </w:tcPr>
          <w:p>
            <w:pPr>
              <w:spacing w:after="0" w:before="0"/>
            </w:pPr>
            <w:r/>
            <w:r>
              <w:rPr>
                <w:b/>
              </w:rPr>
              <w:t>Funding mix</w:t>
            </w:r>
          </w:p>
        </w:tc>
        <w:tc>
          <w:tcPr>
            <w:tcW w:type="dxa" w:w="6480"/>
            <w:vAlign w:val="top"/>
          </w:tcPr>
          <w:p>
            <w:pPr>
              <w:spacing w:after="0" w:before="0"/>
            </w:pPr>
            <w:r/>
            <w:r>
              <w:rPr>
                <w:b w:val="0"/>
              </w:rPr>
              <w:t>Public legal summaries report a capital structure in the range of 20%-30% equity and 70%-80% debt.</w:t>
            </w:r>
          </w:p>
        </w:tc>
      </w:tr>
      <w:tr>
        <w:tc>
          <w:tcPr>
            <w:tcW w:type="dxa" w:w="2880"/>
            <w:vAlign w:val="top"/>
          </w:tcPr>
          <w:p>
            <w:pPr>
              <w:spacing w:after="0" w:before="0"/>
            </w:pPr>
            <w:r/>
            <w:r>
              <w:rPr>
                <w:b/>
              </w:rPr>
              <w:t>Governance</w:t>
            </w:r>
          </w:p>
        </w:tc>
        <w:tc>
          <w:tcPr>
            <w:tcW w:type="dxa" w:w="6480"/>
            <w:vAlign w:val="top"/>
          </w:tcPr>
          <w:p>
            <w:pPr>
              <w:spacing w:after="0" w:before="0"/>
            </w:pPr>
            <w:r/>
            <w:r>
              <w:rPr>
                <w:b w:val="0"/>
              </w:rPr>
              <w:t>CFE reportedly keeps veto rights over key decisions; the private party may hold operational/control rights through the trust governance, subject to contract terms.</w:t>
            </w:r>
          </w:p>
        </w:tc>
      </w:tr>
    </w:tbl>
    <w:p>
      <w:pPr>
        <w:pStyle w:val="Heading2"/>
      </w:pPr>
      <w:r>
        <w:rPr>
          <w:color w:val="1F4E79"/>
        </w:rPr>
        <w:t>D. Guarantees and bankability points reported in the draft investment contract</w:t>
      </w:r>
    </w:p>
    <w:p>
      <w:pPr>
        <w:spacing w:after="120"/>
      </w:pPr>
      <w:r>
        <w:t>Market reporting based on a draft Contrato de Inversion Mixta refers to three guarantees. These amounts should be checked against the official contract package before being built into the financial model.</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before="0"/>
            </w:pPr>
            <w:r/>
            <w:r>
              <w:rPr>
                <w:b/>
                <w:color w:val="FFFFFF"/>
              </w:rPr>
              <w:t>Bankability item</w:t>
            </w:r>
          </w:p>
        </w:tc>
        <w:tc>
          <w:tcPr>
            <w:tcW w:type="dxa" w:w="6480"/>
            <w:shd w:fill="1F4E79"/>
            <w:vAlign w:val="top"/>
          </w:tcPr>
          <w:p>
            <w:pPr>
              <w:spacing w:after="0" w:before="0"/>
            </w:pPr>
            <w:r/>
            <w:r>
              <w:rPr>
                <w:b/>
                <w:color w:val="FFFFFF"/>
              </w:rPr>
              <w:t>Preliminary assumption to validate</w:t>
            </w:r>
          </w:p>
        </w:tc>
      </w:tr>
      <w:tr>
        <w:tc>
          <w:tcPr>
            <w:tcW w:type="dxa" w:w="2880"/>
            <w:vAlign w:val="top"/>
          </w:tcPr>
          <w:p>
            <w:pPr>
              <w:spacing w:after="0" w:before="0"/>
            </w:pPr>
            <w:r/>
            <w:r>
              <w:rPr>
                <w:b/>
              </w:rPr>
              <w:t>Development Guarantee</w:t>
            </w:r>
          </w:p>
        </w:tc>
        <w:tc>
          <w:tcPr>
            <w:tcW w:type="dxa" w:w="6480"/>
            <w:vAlign w:val="top"/>
          </w:tcPr>
          <w:p>
            <w:pPr>
              <w:spacing w:after="0" w:before="0"/>
            </w:pPr>
            <w:r/>
            <w:r>
              <w:rPr>
                <w:b w:val="0"/>
              </w:rPr>
              <w:t>USD 15,000 per installed MW, reportedly required from contract signing and covering obligations until investment start.</w:t>
            </w:r>
          </w:p>
        </w:tc>
      </w:tr>
      <w:tr>
        <w:tc>
          <w:tcPr>
            <w:tcW w:type="dxa" w:w="2880"/>
            <w:vAlign w:val="top"/>
          </w:tcPr>
          <w:p>
            <w:pPr>
              <w:spacing w:after="0" w:before="0"/>
            </w:pPr>
            <w:r/>
            <w:r>
              <w:rPr>
                <w:b/>
              </w:rPr>
              <w:t>Investment Guarantee</w:t>
            </w:r>
          </w:p>
        </w:tc>
        <w:tc>
          <w:tcPr>
            <w:tcW w:type="dxa" w:w="6480"/>
            <w:vAlign w:val="top"/>
          </w:tcPr>
          <w:p>
            <w:pPr>
              <w:spacing w:after="0" w:before="0"/>
            </w:pPr>
            <w:r/>
            <w:r>
              <w:rPr>
                <w:b w:val="0"/>
              </w:rPr>
              <w:t>3% of CAPEX, reportedly covering penalties and deviations until commercial operation.</w:t>
            </w:r>
          </w:p>
        </w:tc>
      </w:tr>
      <w:tr>
        <w:tc>
          <w:tcPr>
            <w:tcW w:type="dxa" w:w="2880"/>
            <w:vAlign w:val="top"/>
          </w:tcPr>
          <w:p>
            <w:pPr>
              <w:spacing w:after="0" w:before="0"/>
            </w:pPr>
            <w:r/>
            <w:r>
              <w:rPr>
                <w:b/>
              </w:rPr>
              <w:t>Operating Guarantee</w:t>
            </w:r>
          </w:p>
        </w:tc>
        <w:tc>
          <w:tcPr>
            <w:tcW w:type="dxa" w:w="6480"/>
            <w:vAlign w:val="top"/>
          </w:tcPr>
          <w:p>
            <w:pPr>
              <w:spacing w:after="0" w:before="0"/>
            </w:pPr>
            <w:r/>
            <w:r>
              <w:rPr>
                <w:b w:val="0"/>
              </w:rPr>
              <w:t>USD 50,000 multiplied by 70% of the installed capacity of the plant, reportedly required shortly before commercial operation / commercial term.</w:t>
            </w:r>
          </w:p>
        </w:tc>
      </w:tr>
      <w:tr>
        <w:tc>
          <w:tcPr>
            <w:tcW w:type="dxa" w:w="2880"/>
            <w:vAlign w:val="top"/>
          </w:tcPr>
          <w:p>
            <w:pPr>
              <w:spacing w:after="0" w:before="0"/>
            </w:pPr>
            <w:r/>
            <w:r>
              <w:rPr>
                <w:b/>
              </w:rPr>
              <w:t>Return cap / target return</w:t>
            </w:r>
          </w:p>
        </w:tc>
        <w:tc>
          <w:tcPr>
            <w:tcW w:type="dxa" w:w="6480"/>
            <w:vAlign w:val="top"/>
          </w:tcPr>
          <w:p>
            <w:pPr>
              <w:spacing w:after="0" w:before="0"/>
            </w:pPr>
            <w:r/>
            <w:r>
              <w:rPr>
                <w:b w:val="0"/>
              </w:rPr>
              <w:t>Public summaries indicate the private sponsor return may be limited to the Target IRR offered by the developer. If confirmed, the model must include an upside-sharing or return-cap mechanism.</w:t>
            </w:r>
          </w:p>
        </w:tc>
      </w:tr>
      <w:tr>
        <w:tc>
          <w:tcPr>
            <w:tcW w:type="dxa" w:w="2880"/>
            <w:vAlign w:val="top"/>
          </w:tcPr>
          <w:p>
            <w:pPr>
              <w:spacing w:after="0" w:before="0"/>
            </w:pPr>
            <w:r/>
            <w:r>
              <w:rPr>
                <w:b/>
              </w:rPr>
              <w:t>Payment character</w:t>
            </w:r>
          </w:p>
        </w:tc>
        <w:tc>
          <w:tcPr>
            <w:tcW w:type="dxa" w:w="6480"/>
            <w:vAlign w:val="top"/>
          </w:tcPr>
          <w:p>
            <w:pPr>
              <w:spacing w:after="0" w:before="0"/>
            </w:pPr>
            <w:r/>
            <w:r>
              <w:rPr>
                <w:b w:val="0"/>
              </w:rPr>
              <w:t>Some public summaries describe a payment logic linked to availability. This needs direct validation because it would materially change BESS dispatch economics versus pure merchant arbitrage.</w:t>
            </w:r>
          </w:p>
        </w:tc>
      </w:tr>
    </w:tbl>
    <w:p>
      <w:pPr>
        <w:pStyle w:val="Heading2"/>
      </w:pPr>
      <w:r>
        <w:rPr>
          <w:color w:val="1F4E79"/>
        </w:rPr>
        <w:t>E. Implications for the Mexico PV+BESS optimizer</w:t>
      </w:r>
    </w:p>
    <w:p>
      <w:pPr>
        <w:pStyle w:val="ListBullet"/>
      </w:pPr>
      <w:r>
        <w:t>Add a contracted offtake module: model 70% of generation/revenue under the CFE PPA terms, separate from merchant dispatch.</w:t>
      </w:r>
    </w:p>
    <w:p>
      <w:pPr>
        <w:pStyle w:val="ListBullet"/>
      </w:pPr>
      <w:r>
        <w:t>Add a merchant/third-party module: model the 30% tranche against hourly NodoP PML, or against a separate corporate PPA price if permitted.</w:t>
      </w:r>
    </w:p>
    <w:p>
      <w:pPr>
        <w:pStyle w:val="ListBullet"/>
      </w:pPr>
      <w:r>
        <w:t>Add a BESS tolling module: do not treat the battery only as arbitrage until the tolling formula is validated.</w:t>
      </w:r>
    </w:p>
    <w:p>
      <w:pPr>
        <w:pStyle w:val="ListBullet"/>
      </w:pPr>
      <w:r>
        <w:t>Add a guarantee/collateral module: include development, investment and operating guarantees as cash collateral, LC cost or bonding cost depending on final finance structure.</w:t>
      </w:r>
    </w:p>
    <w:p>
      <w:pPr>
        <w:pStyle w:val="ListBullet"/>
      </w:pPr>
      <w:r>
        <w:t>Add a target-IRR / upside-cap module: if the private return is capped, the model must compute distributions and excess value differently from a normal IPP PPA.</w:t>
      </w:r>
    </w:p>
    <w:p>
      <w:pPr>
        <w:pStyle w:val="ListBullet"/>
      </w:pPr>
      <w:r>
        <w:t>Separate legal ownership from dispatch control: the optimizer should include variables for who controls BESS charge/discharge, who bears PML basis risk, and who receives ancillary-service revenue.</w:t>
      </w:r>
    </w:p>
    <w:p>
      <w:pPr>
        <w:pStyle w:val="Heading2"/>
      </w:pPr>
      <w:r>
        <w:rPr>
          <w:color w:val="1F4E79"/>
        </w:rPr>
        <w:t>F. Open validation checklist before coding</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before="0"/>
            </w:pPr>
            <w:r/>
            <w:r>
              <w:rPr>
                <w:b/>
                <w:color w:val="FFFFFF"/>
              </w:rPr>
              <w:t>Validation item</w:t>
            </w:r>
          </w:p>
        </w:tc>
        <w:tc>
          <w:tcPr>
            <w:tcW w:type="dxa" w:w="6480"/>
            <w:shd w:fill="1F4E79"/>
            <w:vAlign w:val="top"/>
          </w:tcPr>
          <w:p>
            <w:pPr>
              <w:spacing w:after="0" w:before="0"/>
            </w:pPr>
            <w:r/>
            <w:r>
              <w:rPr>
                <w:b/>
                <w:color w:val="FFFFFF"/>
              </w:rPr>
              <w:t>Question to answer</w:t>
            </w:r>
          </w:p>
        </w:tc>
      </w:tr>
      <w:tr>
        <w:tc>
          <w:tcPr>
            <w:tcW w:type="dxa" w:w="2880"/>
            <w:vAlign w:val="top"/>
          </w:tcPr>
          <w:p>
            <w:pPr>
              <w:spacing w:after="0" w:before="0"/>
            </w:pPr>
            <w:r/>
            <w:r>
              <w:rPr>
                <w:b/>
              </w:rPr>
              <w:t>Official contract package</w:t>
            </w:r>
          </w:p>
        </w:tc>
        <w:tc>
          <w:tcPr>
            <w:tcW w:type="dxa" w:w="6480"/>
            <w:vAlign w:val="top"/>
          </w:tcPr>
          <w:p>
            <w:pPr>
              <w:spacing w:after="0" w:before="0"/>
            </w:pPr>
            <w:r/>
            <w:r>
              <w:rPr>
                <w:b w:val="0"/>
              </w:rPr>
              <w:t>Obtain the definitive Solicitud de Propuesta, Bases, PPA, Contrato de Inversion Mixta, tolling agreement and FAQ from CFE/SENER.</w:t>
            </w:r>
          </w:p>
        </w:tc>
      </w:tr>
      <w:tr>
        <w:tc>
          <w:tcPr>
            <w:tcW w:type="dxa" w:w="2880"/>
            <w:vAlign w:val="top"/>
          </w:tcPr>
          <w:p>
            <w:pPr>
              <w:spacing w:after="0" w:before="0"/>
            </w:pPr>
            <w:r/>
            <w:r>
              <w:rPr>
                <w:b/>
              </w:rPr>
              <w:t>Energy allocation</w:t>
            </w:r>
          </w:p>
        </w:tc>
        <w:tc>
          <w:tcPr>
            <w:tcW w:type="dxa" w:w="6480"/>
            <w:vAlign w:val="top"/>
          </w:tcPr>
          <w:p>
            <w:pPr>
              <w:spacing w:after="0" w:before="0"/>
            </w:pPr>
            <w:r/>
            <w:r>
              <w:rPr>
                <w:b w:val="0"/>
              </w:rPr>
              <w:t>Confirm whether the 70%/30% split is based on MWh generated, net MWh delivered, contracted capacity, hourly blocks, annual generation, or another measure.</w:t>
            </w:r>
          </w:p>
        </w:tc>
      </w:tr>
      <w:tr>
        <w:tc>
          <w:tcPr>
            <w:tcW w:type="dxa" w:w="2880"/>
            <w:vAlign w:val="top"/>
          </w:tcPr>
          <w:p>
            <w:pPr>
              <w:spacing w:after="0" w:before="0"/>
            </w:pPr>
            <w:r/>
            <w:r>
              <w:rPr>
                <w:b/>
              </w:rPr>
              <w:t>Price formula</w:t>
            </w:r>
          </w:p>
        </w:tc>
        <w:tc>
          <w:tcPr>
            <w:tcW w:type="dxa" w:w="6480"/>
            <w:vAlign w:val="top"/>
          </w:tcPr>
          <w:p>
            <w:pPr>
              <w:spacing w:after="0" w:before="0"/>
            </w:pPr>
            <w:r/>
            <w:r>
              <w:rPr>
                <w:b w:val="0"/>
              </w:rPr>
              <w:t>Confirm fixed price, currency, inflation indexation, degradation adjustment, losses, congestion, imbalance, curtailment and negative-price treatment.</w:t>
            </w:r>
          </w:p>
        </w:tc>
      </w:tr>
      <w:tr>
        <w:tc>
          <w:tcPr>
            <w:tcW w:type="dxa" w:w="2880"/>
            <w:vAlign w:val="top"/>
          </w:tcPr>
          <w:p>
            <w:pPr>
              <w:spacing w:after="0" w:before="0"/>
            </w:pPr>
            <w:r/>
            <w:r>
              <w:rPr>
                <w:b/>
              </w:rPr>
              <w:t>BESS dispatch rights</w:t>
            </w:r>
          </w:p>
        </w:tc>
        <w:tc>
          <w:tcPr>
            <w:tcW w:type="dxa" w:w="6480"/>
            <w:vAlign w:val="top"/>
          </w:tcPr>
          <w:p>
            <w:pPr>
              <w:spacing w:after="0" w:before="0"/>
            </w:pPr>
            <w:r/>
            <w:r>
              <w:rPr>
                <w:b w:val="0"/>
              </w:rPr>
              <w:t>Confirm whether CFE, the project company, CENACE, or the private sponsor controls storage dispatch and whether there are minimum availability/performance requirements.</w:t>
            </w:r>
          </w:p>
        </w:tc>
      </w:tr>
      <w:tr>
        <w:tc>
          <w:tcPr>
            <w:tcW w:type="dxa" w:w="2880"/>
            <w:vAlign w:val="top"/>
          </w:tcPr>
          <w:p>
            <w:pPr>
              <w:spacing w:after="0" w:before="0"/>
            </w:pPr>
            <w:r/>
            <w:r>
              <w:rPr>
                <w:b/>
              </w:rPr>
              <w:t>Capacity and ancillary services</w:t>
            </w:r>
          </w:p>
        </w:tc>
        <w:tc>
          <w:tcPr>
            <w:tcW w:type="dxa" w:w="6480"/>
            <w:vAlign w:val="top"/>
          </w:tcPr>
          <w:p>
            <w:pPr>
              <w:spacing w:after="0" w:before="0"/>
            </w:pPr>
            <w:r/>
            <w:r>
              <w:rPr>
                <w:b w:val="0"/>
              </w:rPr>
              <w:t>Confirm whether capacity-market value, PSC/ancillary services, CELs or other products belong to CFE, the project company, or the private sponsor.</w:t>
            </w:r>
          </w:p>
        </w:tc>
      </w:tr>
      <w:tr>
        <w:tc>
          <w:tcPr>
            <w:tcW w:type="dxa" w:w="2880"/>
            <w:vAlign w:val="top"/>
          </w:tcPr>
          <w:p>
            <w:pPr>
              <w:spacing w:after="0" w:before="0"/>
            </w:pPr>
            <w:r/>
            <w:r>
              <w:rPr>
                <w:b/>
              </w:rPr>
              <w:t>Guarantees</w:t>
            </w:r>
          </w:p>
        </w:tc>
        <w:tc>
          <w:tcPr>
            <w:tcW w:type="dxa" w:w="6480"/>
            <w:vAlign w:val="top"/>
          </w:tcPr>
          <w:p>
            <w:pPr>
              <w:spacing w:after="0" w:before="0"/>
            </w:pPr>
            <w:r/>
            <w:r>
              <w:rPr>
                <w:b w:val="0"/>
              </w:rPr>
              <w:t>Confirm guarantee amounts, timing, eligible instruments, release conditions, draw events and whether they are sized on MWac, MWdc or BESS MW.</w:t>
            </w:r>
          </w:p>
        </w:tc>
      </w:tr>
      <w:tr>
        <w:tc>
          <w:tcPr>
            <w:tcW w:type="dxa" w:w="2880"/>
            <w:vAlign w:val="top"/>
          </w:tcPr>
          <w:p>
            <w:pPr>
              <w:spacing w:after="0" w:before="0"/>
            </w:pPr>
            <w:r/>
            <w:r>
              <w:rPr>
                <w:b/>
              </w:rPr>
              <w:t>Transfer / residual value</w:t>
            </w:r>
          </w:p>
        </w:tc>
        <w:tc>
          <w:tcPr>
            <w:tcW w:type="dxa" w:w="6480"/>
            <w:vAlign w:val="top"/>
          </w:tcPr>
          <w:p>
            <w:pPr>
              <w:spacing w:after="0" w:before="0"/>
            </w:pPr>
            <w:r/>
            <w:r>
              <w:rPr>
                <w:b w:val="0"/>
              </w:rPr>
              <w:t>Confirm if and when assets, knowledge, control rights, or economic rights transfer to CFE, including after the target return is achieved or at contract expiry.</w:t>
            </w:r>
          </w:p>
        </w:tc>
      </w:tr>
    </w:tbl>
    <w:p>
      <w:pPr>
        <w:pStyle w:val="Heading2"/>
      </w:pPr>
      <w:r>
        <w:rPr>
          <w:color w:val="1F4E79"/>
        </w:rPr>
        <w:t>G. Additional sources added for this annex</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top"/>
          </w:tcPr>
          <w:p>
            <w:pPr>
              <w:spacing w:after="0" w:before="0"/>
            </w:pPr>
            <w:r/>
            <w:r>
              <w:rPr>
                <w:b/>
                <w:color w:val="FFFFFF"/>
              </w:rPr>
              <w:t>Source</w:t>
            </w:r>
          </w:p>
        </w:tc>
        <w:tc>
          <w:tcPr>
            <w:tcW w:type="dxa" w:w="4608"/>
            <w:shd w:fill="1F4E79"/>
            <w:vAlign w:val="top"/>
          </w:tcPr>
          <w:p>
            <w:pPr>
              <w:spacing w:after="0" w:before="0"/>
            </w:pPr>
            <w:r/>
            <w:r>
              <w:rPr>
                <w:b/>
                <w:color w:val="FFFFFF"/>
              </w:rPr>
              <w:t>Use in this annex</w:t>
            </w:r>
          </w:p>
        </w:tc>
        <w:tc>
          <w:tcPr>
            <w:tcW w:type="dxa" w:w="2448"/>
            <w:shd w:fill="1F4E79"/>
            <w:vAlign w:val="top"/>
          </w:tcPr>
          <w:p>
            <w:pPr>
              <w:spacing w:after="0" w:before="0"/>
            </w:pPr>
            <w:r/>
            <w:r>
              <w:rPr>
                <w:b/>
                <w:color w:val="FFFFFF"/>
              </w:rPr>
              <w:t>Reference</w:t>
            </w:r>
          </w:p>
        </w:tc>
      </w:tr>
      <w:tr>
        <w:tc>
          <w:tcPr>
            <w:tcW w:type="dxa" w:w="2304"/>
            <w:vAlign w:val="top"/>
          </w:tcPr>
          <w:p>
            <w:pPr>
              <w:spacing w:after="0" w:before="0"/>
            </w:pPr>
            <w:r/>
            <w:r>
              <w:rPr>
                <w:b/>
              </w:rPr>
              <w:t>Ventanilla Energia / SENER</w:t>
            </w:r>
          </w:p>
        </w:tc>
        <w:tc>
          <w:tcPr>
            <w:tcW w:type="dxa" w:w="4608"/>
            <w:vAlign w:val="top"/>
          </w:tcPr>
          <w:p>
            <w:pPr>
              <w:spacing w:after="0" w:before="0"/>
            </w:pPr>
            <w:r/>
            <w:r>
              <w:rPr>
                <w:b w:val="0"/>
              </w:rPr>
              <w:t>Notice dated 6 February 2026: support material for Convocatoria para Esquemas de Desarrollo Mixto CFE, including presentation, registration forms, Lineamientos and FAQs; new registration date 3 March 2026.</w:t>
            </w:r>
          </w:p>
        </w:tc>
        <w:tc>
          <w:tcPr>
            <w:tcW w:type="dxa" w:w="2448"/>
            <w:vAlign w:val="top"/>
          </w:tcPr>
          <w:p>
            <w:pPr>
              <w:spacing w:after="0" w:before="0"/>
            </w:pPr>
            <w:r/>
            <w:r>
              <w:rPr>
                <w:b w:val="0"/>
              </w:rPr>
              <w:t>https://ventanilla.energia.gob.mx/avisos/8</w:t>
            </w:r>
          </w:p>
        </w:tc>
      </w:tr>
      <w:tr>
        <w:tc>
          <w:tcPr>
            <w:tcW w:type="dxa" w:w="2304"/>
            <w:vAlign w:val="top"/>
          </w:tcPr>
          <w:p>
            <w:pPr>
              <w:spacing w:after="0" w:before="0"/>
            </w:pPr>
            <w:r/>
            <w:r>
              <w:rPr>
                <w:b/>
              </w:rPr>
              <w:t>DOF / CFE Lineamientos</w:t>
            </w:r>
          </w:p>
        </w:tc>
        <w:tc>
          <w:tcPr>
            <w:tcW w:type="dxa" w:w="4608"/>
            <w:vAlign w:val="top"/>
          </w:tcPr>
          <w:p>
            <w:pPr>
              <w:spacing w:after="0" w:before="0"/>
            </w:pPr>
            <w:r/>
            <w:r>
              <w:rPr>
                <w:b w:val="0"/>
              </w:rPr>
              <w:t>Lineamientos de los Esquemas para el Desarrollo Mixto de la Empresa Publica del Estado, Comision Federal de Electricidad, published 28 January 2026.</w:t>
            </w:r>
          </w:p>
        </w:tc>
        <w:tc>
          <w:tcPr>
            <w:tcW w:type="dxa" w:w="2448"/>
            <w:vAlign w:val="top"/>
          </w:tcPr>
          <w:p>
            <w:pPr>
              <w:spacing w:after="0" w:before="0"/>
            </w:pPr>
            <w:r/>
            <w:r>
              <w:rPr>
                <w:b w:val="0"/>
              </w:rPr>
              <w:t>https://sidof.segob.gob.mx/notas/5778994</w:t>
            </w:r>
          </w:p>
        </w:tc>
      </w:tr>
      <w:tr>
        <w:tc>
          <w:tcPr>
            <w:tcW w:type="dxa" w:w="2304"/>
            <w:vAlign w:val="top"/>
          </w:tcPr>
          <w:p>
            <w:pPr>
              <w:spacing w:after="0" w:before="0"/>
            </w:pPr>
            <w:r/>
            <w:r>
              <w:rPr>
                <w:b/>
              </w:rPr>
              <w:t>Mijares</w:t>
            </w:r>
          </w:p>
        </w:tc>
        <w:tc>
          <w:tcPr>
            <w:tcW w:type="dxa" w:w="4608"/>
            <w:vAlign w:val="top"/>
          </w:tcPr>
          <w:p>
            <w:pPr>
              <w:spacing w:after="0" w:before="0"/>
            </w:pPr>
            <w:r/>
            <w:r>
              <w:rPr>
                <w:b w:val="0"/>
              </w:rPr>
              <w:t>Legal summary of the CFE/SENER Convocatoria, including 54/46 trust structure, PPA contribution, 70/30 energy split, BESS tolling and 25-year PPA description.</w:t>
            </w:r>
          </w:p>
        </w:tc>
        <w:tc>
          <w:tcPr>
            <w:tcW w:type="dxa" w:w="2448"/>
            <w:vAlign w:val="top"/>
          </w:tcPr>
          <w:p>
            <w:pPr>
              <w:spacing w:after="0" w:before="0"/>
            </w:pPr>
            <w:r/>
            <w:r>
              <w:rPr>
                <w:b w:val="0"/>
              </w:rPr>
              <w:t>https://www.mijares.mx/noticias/cfe-y-sener-presentan-la-convocatoria-para-esquemas-de-desarrollo-mixto-cfe</w:t>
            </w:r>
          </w:p>
        </w:tc>
      </w:tr>
      <w:tr>
        <w:tc>
          <w:tcPr>
            <w:tcW w:type="dxa" w:w="2304"/>
            <w:vAlign w:val="top"/>
          </w:tcPr>
          <w:p>
            <w:pPr>
              <w:spacing w:after="0" w:before="0"/>
            </w:pPr>
            <w:r/>
            <w:r>
              <w:rPr>
                <w:b/>
              </w:rPr>
              <w:t>Garrigues</w:t>
            </w:r>
          </w:p>
        </w:tc>
        <w:tc>
          <w:tcPr>
            <w:tcW w:type="dxa" w:w="4608"/>
            <w:vAlign w:val="top"/>
          </w:tcPr>
          <w:p>
            <w:pPr>
              <w:spacing w:after="0" w:before="0"/>
            </w:pPr>
            <w:r/>
            <w:r>
              <w:rPr>
                <w:b w:val="0"/>
              </w:rPr>
              <w:t>Legal summary confirming the Convocatoria, long-term PPA up to 25 years, 54/46 structure, 70/30 allocation and BESS tolling reference.</w:t>
            </w:r>
          </w:p>
        </w:tc>
        <w:tc>
          <w:tcPr>
            <w:tcW w:type="dxa" w:w="2448"/>
            <w:vAlign w:val="top"/>
          </w:tcPr>
          <w:p>
            <w:pPr>
              <w:spacing w:after="0" w:before="0"/>
            </w:pPr>
            <w:r/>
            <w:r>
              <w:rPr>
                <w:b w:val="0"/>
              </w:rPr>
              <w:t>https://www.garrigues.com/es_ES/noticia/mexico-publica-convocatoria-llevar-cabo-proyectos-esquemas-desarrollo-mixto-comision</w:t>
            </w:r>
          </w:p>
        </w:tc>
      </w:tr>
      <w:tr>
        <w:tc>
          <w:tcPr>
            <w:tcW w:type="dxa" w:w="2304"/>
            <w:vAlign w:val="top"/>
          </w:tcPr>
          <w:p>
            <w:pPr>
              <w:spacing w:after="0" w:before="0"/>
            </w:pPr>
            <w:r/>
            <w:r>
              <w:rPr>
                <w:b/>
              </w:rPr>
              <w:t>Energia Estrategica / market reporting</w:t>
            </w:r>
          </w:p>
        </w:tc>
        <w:tc>
          <w:tcPr>
            <w:tcW w:type="dxa" w:w="4608"/>
            <w:vAlign w:val="top"/>
          </w:tcPr>
          <w:p>
            <w:pPr>
              <w:spacing w:after="0" w:before="0"/>
            </w:pPr>
            <w:r/>
            <w:r>
              <w:rPr>
                <w:b w:val="0"/>
              </w:rPr>
              <w:t>Market reporting on the draft Contrato de Inversion Mixta, including reported guarantee levels, target return cap and availability/payment comments. Treat as secondary until confirmed against official CFE documents.</w:t>
            </w:r>
          </w:p>
        </w:tc>
        <w:tc>
          <w:tcPr>
            <w:tcW w:type="dxa" w:w="2448"/>
            <w:vAlign w:val="top"/>
          </w:tcPr>
          <w:p>
            <w:pPr>
              <w:spacing w:after="0" w:before="0"/>
            </w:pPr>
            <w:r/>
            <w:r>
              <w:rPr>
                <w:b w:val="0"/>
              </w:rPr>
              <w:t>https://www.energiaestrategica.com/como-se-estructura-el-contrato-de-inversion-mixta-de-cfe-uno-por-uno-los-puntos-clave-y-que-implican-para-los-privados/</w:t>
            </w:r>
          </w:p>
        </w:tc>
      </w:tr>
      <w:tr>
        <w:tc>
          <w:tcPr>
            <w:tcW w:type="dxa" w:w="2304"/>
            <w:vAlign w:val="top"/>
          </w:tcPr>
          <w:p>
            <w:pPr>
              <w:spacing w:after="0" w:before="0"/>
            </w:pPr>
            <w:r/>
            <w:r>
              <w:rPr>
                <w:b/>
              </w:rPr>
              <w:t>Global Energy</w:t>
            </w:r>
          </w:p>
        </w:tc>
        <w:tc>
          <w:tcPr>
            <w:tcW w:type="dxa" w:w="4608"/>
            <w:vAlign w:val="top"/>
          </w:tcPr>
          <w:p>
            <w:pPr>
              <w:spacing w:after="0" w:before="0"/>
            </w:pPr>
            <w:r/>
            <w:r>
              <w:rPr>
                <w:b w:val="0"/>
              </w:rPr>
              <w:t>Commentary describing a 25-year fixed-price CFE purchase for 70% of generation and market/third-party sale for the 30% balance.</w:t>
            </w:r>
          </w:p>
        </w:tc>
        <w:tc>
          <w:tcPr>
            <w:tcW w:type="dxa" w:w="2448"/>
            <w:vAlign w:val="top"/>
          </w:tcPr>
          <w:p>
            <w:pPr>
              <w:spacing w:after="0" w:before="0"/>
            </w:pPr>
            <w:r/>
            <w:r>
              <w:rPr>
                <w:b w:val="0"/>
              </w:rPr>
              <w:t>https://globalenergy.mx/noticias-especiales/analisis/contratacion-mixta-cfe-sector-privado-generacion-electrica-mexico/</w:t>
            </w:r>
          </w:p>
        </w:tc>
      </w:tr>
    </w:tbl>
    <w:sectPr w:rsidR="00FC693F" w:rsidRPr="0006063C" w:rsidSect="00034616">
      <w:footerReference w:type="default" r:id="rId2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Mexico PV+BESS Rules and Regulation Validation Memo | Prepared for model design | 18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dof.segob.gob.mx/notas/5751230" TargetMode="External"/><Relationship Id="rId10" Type="http://schemas.openxmlformats.org/officeDocument/2006/relationships/hyperlink" Target="https://www.cenace.gob.mx/Paginas/SIM/MercadoCP.aspx" TargetMode="External"/><Relationship Id="rId11" Type="http://schemas.openxmlformats.org/officeDocument/2006/relationships/hyperlink" Target="https://www.cenace.gob.mx/Paginas/SIM/Reportes/PreEnerServConMTR.aspx" TargetMode="External"/><Relationship Id="rId12" Type="http://schemas.openxmlformats.org/officeDocument/2006/relationships/hyperlink" Target="https://www.cenace.gob.mx/Docs/Cenace/Documentos/DatosAbiertos/DICCIONARIO/Diccionario_Datos_Abiertos_CENACE_MECP.pdf" TargetMode="External"/><Relationship Id="rId13" Type="http://schemas.openxmlformats.org/officeDocument/2006/relationships/hyperlink" Target="https://www.cenace.gob.mx/Paginas/SIM/MercadoBalance.aspx" TargetMode="External"/><Relationship Id="rId14" Type="http://schemas.openxmlformats.org/officeDocument/2006/relationships/hyperlink" Target="https://www.cenace.gob.mx/Docs/MercadoCortoPlazo/Manual%20de%20Mercado%20de%20Energ%C3%ADa%20de%20Corto%20Plazo%20%28DOF%20SENER%2017-Jun-16%29.pdf" TargetMode="External"/><Relationship Id="rId15" Type="http://schemas.openxmlformats.org/officeDocument/2006/relationships/hyperlink" Target="https://www.diputados.gob.mx/LeyesBiblio/pdf/LCNE.pdf" TargetMode="External"/><Relationship Id="rId16" Type="http://schemas.openxmlformats.org/officeDocument/2006/relationships/hyperlink" Target="https://www.diputados.gob.mx/LeyesBiblio/ref/lse/LSE_orig_18mar25.pdf" TargetMode="External"/><Relationship Id="rId17" Type="http://schemas.openxmlformats.org/officeDocument/2006/relationships/hyperlink" Target="https://www.ritch.com.mx/prensa/newsflash-publicacion-de-disposiciones-para-la-integracion-de-sistemas-de-almacenamiento-de-energia-al-sistema-electrico-nacional" TargetMode="External"/><Relationship Id="rId18" Type="http://schemas.openxmlformats.org/officeDocument/2006/relationships/hyperlink" Target="https://www.lexology.com/library/detail.aspx?g=002c6b66-8e3d-4aa0-a26b-0cbd1d3e1b50" TargetMode="External"/><Relationship Id="rId19" Type="http://schemas.openxmlformats.org/officeDocument/2006/relationships/hyperlink" Target="https://www.gme-global.com/uploads/archivos/20240403-041312.pdf"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