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Optimus_Mexico_Behind_TheMeter</w:t>
      </w:r>
    </w:p>
    <w:p>
      <w:pPr>
        <w:jc w:val="center"/>
      </w:pPr>
      <w:r>
        <w:rPr>
          <w:color w:val="595959"/>
          <w:sz w:val="28"/>
        </w:rPr>
        <w:t>Developer-Ready Design Document, Flow and Scraper Specification</w:t>
      </w:r>
    </w:p>
    <w:p>
      <w:pPr>
        <w:jc w:val="center"/>
      </w:pPr>
      <w:r>
        <w:rPr>
          <w:i/>
        </w:rPr>
        <w:t>Mexico CFE Behind-the-Meter BESS / PV+BESS Autoconsumption Optimizer</w:t>
      </w:r>
    </w:p>
    <w:p>
      <w:pPr>
        <w:jc w:val="center"/>
      </w:pPr>
      <w:r>
        <w:t>Prepared for OptimusAI development branch | Version 1.1 | June 2026 | Investor Layer Added</w:t>
      </w:r>
    </w:p>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b/>
                <w:color w:val="FFFFFF"/>
              </w:rPr>
              <w:t>Decision</w:t>
            </w:r>
          </w:p>
        </w:tc>
        <w:tc>
          <w:tcPr>
            <w:tcW w:type="dxa" w:w="5184"/>
            <w:vAlign w:val="top"/>
            <w:shd w:fill="1F4E79"/>
          </w:tcPr>
          <w:p>
            <w:pPr>
              <w:spacing w:after="0"/>
            </w:pPr>
            <w:r/>
            <w:r>
              <w:rPr>
                <w:b/>
                <w:color w:val="FFFFFF"/>
              </w:rPr>
              <w:t>Recommendation</w:t>
            </w:r>
          </w:p>
        </w:tc>
      </w:tr>
      <w:tr>
        <w:tc>
          <w:tcPr>
            <w:tcW w:type="dxa" w:w="5184"/>
            <w:vAlign w:val="top"/>
          </w:tcPr>
          <w:p>
            <w:pPr>
              <w:spacing w:after="0"/>
            </w:pPr>
            <w:r/>
            <w:r>
              <w:rPr>
                <w:b w:val="0"/>
              </w:rPr>
              <w:t>Primary MVP</w:t>
            </w:r>
          </w:p>
        </w:tc>
        <w:tc>
          <w:tcPr>
            <w:tcW w:type="dxa" w:w="5184"/>
            <w:vAlign w:val="top"/>
          </w:tcPr>
          <w:p>
            <w:pPr>
              <w:spacing w:after="0"/>
            </w:pPr>
            <w:r/>
            <w:r>
              <w:rPr>
                <w:b w:val="0"/>
              </w:rPr>
              <w:t>CFE bill reconstruction and BESS peak-shaving optimizer at 15-minute resolution.</w:t>
            </w:r>
          </w:p>
        </w:tc>
      </w:tr>
      <w:tr>
        <w:tc>
          <w:tcPr>
            <w:tcW w:type="dxa" w:w="5184"/>
            <w:vAlign w:val="top"/>
          </w:tcPr>
          <w:p>
            <w:pPr>
              <w:spacing w:after="0"/>
            </w:pPr>
            <w:r/>
            <w:r>
              <w:rPr>
                <w:b w:val="0"/>
              </w:rPr>
              <w:t>Main target tariff</w:t>
            </w:r>
          </w:p>
        </w:tc>
        <w:tc>
          <w:tcPr>
            <w:tcW w:type="dxa" w:w="5184"/>
            <w:vAlign w:val="top"/>
          </w:tcPr>
          <w:p>
            <w:pPr>
              <w:spacing w:after="0"/>
            </w:pPr>
            <w:r/>
            <w:r>
              <w:rPr>
                <w:b w:val="0"/>
              </w:rPr>
              <w:t>GDMTH; add GDMTO migration check and DIST/DIT support for larger industrial clients.</w:t>
            </w:r>
          </w:p>
        </w:tc>
      </w:tr>
      <w:tr>
        <w:tc>
          <w:tcPr>
            <w:tcW w:type="dxa" w:w="5184"/>
            <w:vAlign w:val="top"/>
          </w:tcPr>
          <w:p>
            <w:pPr>
              <w:spacing w:after="0"/>
            </w:pPr>
            <w:r/>
            <w:r>
              <w:rPr>
                <w:b w:val="0"/>
              </w:rPr>
              <w:t>Main value drivers</w:t>
            </w:r>
          </w:p>
        </w:tc>
        <w:tc>
          <w:tcPr>
            <w:tcW w:type="dxa" w:w="5184"/>
            <w:vAlign w:val="top"/>
          </w:tcPr>
          <w:p>
            <w:pPr>
              <w:spacing w:after="0"/>
            </w:pPr>
            <w:r/>
            <w:r>
              <w:rPr>
                <w:b w:val="0"/>
              </w:rPr>
              <w:t>Capacity/demand reduction, distribution-demand reduction, peak-period energy reduction, PV self-consumption, optional backup reserve.</w:t>
            </w:r>
          </w:p>
        </w:tc>
      </w:tr>
      <w:tr>
        <w:tc>
          <w:tcPr>
            <w:tcW w:type="dxa" w:w="5184"/>
            <w:vAlign w:val="top"/>
          </w:tcPr>
          <w:p>
            <w:pPr>
              <w:spacing w:after="0"/>
            </w:pPr>
            <w:r/>
            <w:r>
              <w:rPr>
                <w:b w:val="0"/>
              </w:rPr>
              <w:t>Scraper priority</w:t>
            </w:r>
          </w:p>
        </w:tc>
        <w:tc>
          <w:tcPr>
            <w:tcW w:type="dxa" w:w="5184"/>
            <w:vAlign w:val="top"/>
          </w:tcPr>
          <w:p>
            <w:pPr>
              <w:spacing w:after="0"/>
            </w:pPr>
            <w:r/>
            <w:r>
              <w:rPr>
                <w:b w:val="0"/>
              </w:rPr>
              <w:t>CFE/CNE monthly tariff tables first; holidays and Banxico FX second; CENACE NodosP/PML optional for MEM comparison.</w:t>
            </w:r>
          </w:p>
        </w:tc>
      </w:tr>
    </w:tbl>
    <w:p/>
    <w:p>
      <w:r>
        <w:br w:type="page"/>
      </w:r>
    </w:p>
    <w:p>
      <w:pPr>
        <w:pStyle w:val="Heading1"/>
      </w:pPr>
      <w:r>
        <w:t>1. Executive Summary</w:t>
      </w:r>
    </w:p>
    <w:p>
      <w:r>
        <w:t>Optimus_Mexico_Behind_TheMeter is a Mexico-specific optimization module for industrial and commercial customers under CFE basic-supply tariffs. Its purpose is to quantify and optimize behind-the-meter BESS and PV+BESS economics by reconstructing the customer bill, simulating 15-minute dispatch, and calculating savings by tariff component.</w:t>
      </w:r>
    </w:p>
    <w:p>
      <w:r>
        <w:t>The first version must not be a pure merchant arbitrage tool. For Mexican behind-the-meter use cases, the economic engine must prioritize demand and capacity-charge reduction, then time-of-use energy shifting and PV self-consumption. Optional qualified-user or MEM price comparison should be implemented only after the CFE bill engine is validated.</w:t>
      </w:r>
    </w:p>
    <w:p>
      <w:pPr>
        <w:pStyle w:val="Heading1"/>
      </w:pPr>
      <w:r>
        <w:t>2. Source-of-Truth Inputs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0"/>
            </w:pPr>
            <w:r/>
            <w:r>
              <w:rPr>
                <w:b/>
                <w:color w:val="FFFFFF"/>
              </w:rPr>
              <w:t>Source</w:t>
            </w:r>
          </w:p>
        </w:tc>
        <w:tc>
          <w:tcPr>
            <w:tcW w:type="dxa" w:w="3456"/>
            <w:vAlign w:val="top"/>
            <w:shd w:fill="1F4E79"/>
          </w:tcPr>
          <w:p>
            <w:pPr>
              <w:spacing w:after="0"/>
            </w:pPr>
            <w:r/>
            <w:r>
              <w:rPr>
                <w:b/>
                <w:color w:val="FFFFFF"/>
              </w:rPr>
              <w:t>Status</w:t>
            </w:r>
          </w:p>
        </w:tc>
        <w:tc>
          <w:tcPr>
            <w:tcW w:type="dxa" w:w="3456"/>
            <w:vAlign w:val="top"/>
            <w:shd w:fill="1F4E79"/>
          </w:tcPr>
          <w:p>
            <w:pPr>
              <w:spacing w:after="0"/>
            </w:pPr>
            <w:r/>
            <w:r>
              <w:rPr>
                <w:b/>
                <w:color w:val="FFFFFF"/>
              </w:rPr>
              <w:t>How the module uses it</w:t>
            </w:r>
          </w:p>
        </w:tc>
      </w:tr>
      <w:tr>
        <w:tc>
          <w:tcPr>
            <w:tcW w:type="dxa" w:w="3456"/>
            <w:vAlign w:val="top"/>
          </w:tcPr>
          <w:p>
            <w:pPr>
              <w:spacing w:after="0"/>
            </w:pPr>
            <w:r/>
            <w:r>
              <w:rPr>
                <w:b w:val="0"/>
              </w:rPr>
              <w:t>CNE/CFE 2026 tariff methodology: CT/11.SE/8-2025</w:t>
            </w:r>
          </w:p>
        </w:tc>
        <w:tc>
          <w:tcPr>
            <w:tcW w:type="dxa" w:w="3456"/>
            <w:vAlign w:val="top"/>
          </w:tcPr>
          <w:p>
            <w:pPr>
              <w:spacing w:after="0"/>
            </w:pPr>
            <w:r/>
            <w:r>
              <w:rPr>
                <w:b w:val="0"/>
              </w:rPr>
              <w:t>Uploaded</w:t>
            </w:r>
          </w:p>
        </w:tc>
        <w:tc>
          <w:tcPr>
            <w:tcW w:type="dxa" w:w="3456"/>
            <w:vAlign w:val="top"/>
          </w:tcPr>
          <w:p>
            <w:pPr>
              <w:spacing w:after="0"/>
            </w:pPr>
            <w:r/>
            <w:r>
              <w:rPr>
                <w:b w:val="0"/>
              </w:rPr>
              <w:t>Defines 2026 tariff components, factor de carga, hourly periods, SCnMEM charge, and methodology.</w:t>
            </w:r>
          </w:p>
        </w:tc>
      </w:tr>
      <w:tr>
        <w:tc>
          <w:tcPr>
            <w:tcW w:type="dxa" w:w="3456"/>
            <w:vAlign w:val="top"/>
          </w:tcPr>
          <w:p>
            <w:pPr>
              <w:spacing w:after="0"/>
            </w:pPr>
            <w:r/>
            <w:r>
              <w:rPr>
                <w:b w:val="0"/>
              </w:rPr>
              <w:t>CNE June 2026 TFSB oficio F00.06.UE/1636/2026</w:t>
            </w:r>
          </w:p>
        </w:tc>
        <w:tc>
          <w:tcPr>
            <w:tcW w:type="dxa" w:w="3456"/>
            <w:vAlign w:val="top"/>
          </w:tcPr>
          <w:p>
            <w:pPr>
              <w:spacing w:after="0"/>
            </w:pPr>
            <w:r/>
            <w:r>
              <w:rPr>
                <w:b w:val="0"/>
              </w:rPr>
              <w:t>Uploaded</w:t>
            </w:r>
          </w:p>
        </w:tc>
        <w:tc>
          <w:tcPr>
            <w:tcW w:type="dxa" w:w="3456"/>
            <w:vAlign w:val="top"/>
          </w:tcPr>
          <w:p>
            <w:pPr>
              <w:spacing w:after="0"/>
            </w:pPr>
            <w:r/>
            <w:r>
              <w:rPr>
                <w:b w:val="0"/>
              </w:rPr>
              <w:t>Shows the monthly CNE tariff table structure and confirms monthly generation-charge adjustment process.</w:t>
            </w:r>
          </w:p>
        </w:tc>
      </w:tr>
      <w:tr>
        <w:tc>
          <w:tcPr>
            <w:tcW w:type="dxa" w:w="3456"/>
            <w:vAlign w:val="top"/>
          </w:tcPr>
          <w:p>
            <w:pPr>
              <w:spacing w:after="0"/>
            </w:pPr>
            <w:r/>
            <w:r>
              <w:rPr>
                <w:b w:val="0"/>
              </w:rPr>
              <w:t>CFE tariff pages: GDMTH, GDMTO, DIST, DIT</w:t>
            </w:r>
          </w:p>
        </w:tc>
        <w:tc>
          <w:tcPr>
            <w:tcW w:type="dxa" w:w="3456"/>
            <w:vAlign w:val="top"/>
          </w:tcPr>
          <w:p>
            <w:pPr>
              <w:spacing w:after="0"/>
            </w:pPr>
            <w:r/>
            <w:r>
              <w:rPr>
                <w:b w:val="0"/>
              </w:rPr>
              <w:t>User-copied starter values</w:t>
            </w:r>
          </w:p>
        </w:tc>
        <w:tc>
          <w:tcPr>
            <w:tcW w:type="dxa" w:w="3456"/>
            <w:vAlign w:val="top"/>
          </w:tcPr>
          <w:p>
            <w:pPr>
              <w:spacing w:after="0"/>
            </w:pPr>
            <w:r/>
            <w:r>
              <w:rPr>
                <w:b w:val="0"/>
              </w:rPr>
              <w:t>Starter tariff rates for Valle de Mexico Sur, January 2026.</w:t>
            </w:r>
          </w:p>
        </w:tc>
      </w:tr>
      <w:tr>
        <w:tc>
          <w:tcPr>
            <w:tcW w:type="dxa" w:w="3456"/>
            <w:vAlign w:val="top"/>
          </w:tcPr>
          <w:p>
            <w:pPr>
              <w:spacing w:after="0"/>
            </w:pPr>
            <w:r/>
            <w:r>
              <w:rPr>
                <w:b w:val="0"/>
              </w:rPr>
              <w:t>CFE tariff portal</w:t>
            </w:r>
          </w:p>
        </w:tc>
        <w:tc>
          <w:tcPr>
            <w:tcW w:type="dxa" w:w="3456"/>
            <w:vAlign w:val="top"/>
          </w:tcPr>
          <w:p>
            <w:pPr>
              <w:spacing w:after="0"/>
            </w:pPr>
            <w:r/>
            <w:r>
              <w:rPr>
                <w:b w:val="0"/>
              </w:rPr>
              <w:t>Scraper source</w:t>
            </w:r>
          </w:p>
        </w:tc>
        <w:tc>
          <w:tcPr>
            <w:tcW w:type="dxa" w:w="3456"/>
            <w:vAlign w:val="top"/>
          </w:tcPr>
          <w:p>
            <w:pPr>
              <w:spacing w:after="0"/>
            </w:pPr>
            <w:r/>
            <w:r>
              <w:rPr>
                <w:b w:val="0"/>
              </w:rPr>
              <w:t>Monthly tariff rates by year, month, state/municipality/division, and tariff.</w:t>
            </w:r>
          </w:p>
        </w:tc>
      </w:tr>
      <w:tr>
        <w:tc>
          <w:tcPr>
            <w:tcW w:type="dxa" w:w="3456"/>
            <w:vAlign w:val="top"/>
          </w:tcPr>
          <w:p>
            <w:pPr>
              <w:spacing w:after="0"/>
            </w:pPr>
            <w:r/>
            <w:r>
              <w:rPr>
                <w:b w:val="0"/>
              </w:rPr>
              <w:t>CENACE NodosP and PML</w:t>
            </w:r>
          </w:p>
        </w:tc>
        <w:tc>
          <w:tcPr>
            <w:tcW w:type="dxa" w:w="3456"/>
            <w:vAlign w:val="top"/>
          </w:tcPr>
          <w:p>
            <w:pPr>
              <w:spacing w:after="0"/>
            </w:pPr>
            <w:r/>
            <w:r>
              <w:rPr>
                <w:b w:val="0"/>
              </w:rPr>
              <w:t>Optional scraper source</w:t>
            </w:r>
          </w:p>
        </w:tc>
        <w:tc>
          <w:tcPr>
            <w:tcW w:type="dxa" w:w="3456"/>
            <w:vAlign w:val="top"/>
          </w:tcPr>
          <w:p>
            <w:pPr>
              <w:spacing w:after="0"/>
            </w:pPr>
            <w:r/>
            <w:r>
              <w:rPr>
                <w:b w:val="0"/>
              </w:rPr>
              <w:t>Future MEM/qualified-user reference prices and node mapping.</w:t>
            </w:r>
          </w:p>
        </w:tc>
      </w:tr>
      <w:tr>
        <w:tc>
          <w:tcPr>
            <w:tcW w:type="dxa" w:w="3456"/>
            <w:vAlign w:val="top"/>
          </w:tcPr>
          <w:p>
            <w:pPr>
              <w:spacing w:after="0"/>
            </w:pPr>
            <w:r/>
            <w:r>
              <w:rPr>
                <w:b w:val="0"/>
              </w:rPr>
              <w:t>Banxico FIX</w:t>
            </w:r>
          </w:p>
        </w:tc>
        <w:tc>
          <w:tcPr>
            <w:tcW w:type="dxa" w:w="3456"/>
            <w:vAlign w:val="top"/>
          </w:tcPr>
          <w:p>
            <w:pPr>
              <w:spacing w:after="0"/>
            </w:pPr>
            <w:r/>
            <w:r>
              <w:rPr>
                <w:b w:val="0"/>
              </w:rPr>
              <w:t>Scraper source</w:t>
            </w:r>
          </w:p>
        </w:tc>
        <w:tc>
          <w:tcPr>
            <w:tcW w:type="dxa" w:w="3456"/>
            <w:vAlign w:val="top"/>
          </w:tcPr>
          <w:p>
            <w:pPr>
              <w:spacing w:after="0"/>
            </w:pPr>
            <w:r/>
            <w:r>
              <w:rPr>
                <w:b w:val="0"/>
              </w:rPr>
              <w:t>MXN/USD conversion for investment metrics.</w:t>
            </w:r>
          </w:p>
        </w:tc>
      </w:tr>
      <w:tr>
        <w:tc>
          <w:tcPr>
            <w:tcW w:type="dxa" w:w="3456"/>
            <w:vAlign w:val="top"/>
          </w:tcPr>
          <w:p>
            <w:pPr>
              <w:spacing w:after="0"/>
            </w:pPr>
            <w:r/>
            <w:r>
              <w:rPr>
                <w:b w:val="0"/>
              </w:rPr>
              <w:t>Ley Federal del Trabajo / holiday calendar</w:t>
            </w:r>
          </w:p>
        </w:tc>
        <w:tc>
          <w:tcPr>
            <w:tcW w:type="dxa" w:w="3456"/>
            <w:vAlign w:val="top"/>
          </w:tcPr>
          <w:p>
            <w:pPr>
              <w:spacing w:after="0"/>
            </w:pPr>
            <w:r/>
            <w:r>
              <w:rPr>
                <w:b w:val="0"/>
              </w:rPr>
              <w:t>Scraper/static table</w:t>
            </w:r>
          </w:p>
        </w:tc>
        <w:tc>
          <w:tcPr>
            <w:tcW w:type="dxa" w:w="3456"/>
            <w:vAlign w:val="top"/>
          </w:tcPr>
          <w:p>
            <w:pPr>
              <w:spacing w:after="0"/>
            </w:pPr>
            <w:r/>
            <w:r>
              <w:rPr>
                <w:b w:val="0"/>
              </w:rPr>
              <w:t>Classifies official holidays for tariff period calendar.</w:t>
            </w:r>
          </w:p>
        </w:tc>
      </w:tr>
    </w:tbl>
    <w:p/>
    <w:p>
      <w:r>
        <w:t>Important regulatory details to encode: CNE 2026 methodology states that the TFSB includes regulated transmission, distribution, SSB operation, CENACE operation, SCnMEM, and generation energy/capacity charges. The 2026 SCnMEM charge is 0.0069 MXN/kWh. The uploaded 2026 methodology also provides factors de carga: GDMTO 0.55, GDMTH 0.57, DIST 0.74 and DIT 0.71. The June 2026 oficio confirms that monthly tariff tables include tariff components and that generation charges are updated through monthly adjustment factors.</w:t>
      </w:r>
    </w:p>
    <w:p>
      <w:pPr>
        <w:pStyle w:val="Heading1"/>
      </w:pPr>
      <w:r>
        <w:t>3. Scope and Non-Scope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0"/>
            </w:pPr>
            <w:r/>
            <w:r>
              <w:rPr>
                <w:b/>
                <w:color w:val="FFFFFF"/>
              </w:rPr>
              <w:t>Area</w:t>
            </w:r>
          </w:p>
        </w:tc>
        <w:tc>
          <w:tcPr>
            <w:tcW w:type="dxa" w:w="3456"/>
            <w:vAlign w:val="top"/>
            <w:shd w:fill="1F4E79"/>
          </w:tcPr>
          <w:p>
            <w:pPr>
              <w:spacing w:after="0"/>
            </w:pPr>
            <w:r/>
            <w:r>
              <w:rPr>
                <w:b/>
                <w:color w:val="FFFFFF"/>
              </w:rPr>
              <w:t>Included in MVP</w:t>
            </w:r>
          </w:p>
        </w:tc>
        <w:tc>
          <w:tcPr>
            <w:tcW w:type="dxa" w:w="3456"/>
            <w:vAlign w:val="top"/>
            <w:shd w:fill="1F4E79"/>
          </w:tcPr>
          <w:p>
            <w:pPr>
              <w:spacing w:after="0"/>
            </w:pPr>
            <w:r/>
            <w:r>
              <w:rPr>
                <w:b/>
                <w:color w:val="FFFFFF"/>
              </w:rPr>
              <w:t>Excluded / later phase</w:t>
            </w:r>
          </w:p>
        </w:tc>
      </w:tr>
      <w:tr>
        <w:tc>
          <w:tcPr>
            <w:tcW w:type="dxa" w:w="3456"/>
            <w:vAlign w:val="top"/>
          </w:tcPr>
          <w:p>
            <w:pPr>
              <w:spacing w:after="0"/>
            </w:pPr>
            <w:r/>
            <w:r>
              <w:rPr>
                <w:b w:val="0"/>
              </w:rPr>
              <w:t>Customer bill reconstruction</w:t>
            </w:r>
          </w:p>
        </w:tc>
        <w:tc>
          <w:tcPr>
            <w:tcW w:type="dxa" w:w="3456"/>
            <w:vAlign w:val="top"/>
          </w:tcPr>
          <w:p>
            <w:pPr>
              <w:spacing w:after="0"/>
            </w:pPr>
            <w:r/>
            <w:r>
              <w:rPr>
                <w:b w:val="0"/>
              </w:rPr>
              <w:t>Yes: monthly CFE bill from 15-minute data and tariff table.</w:t>
            </w:r>
          </w:p>
        </w:tc>
        <w:tc>
          <w:tcPr>
            <w:tcW w:type="dxa" w:w="3456"/>
            <w:vAlign w:val="top"/>
          </w:tcPr>
          <w:p>
            <w:pPr>
              <w:spacing w:after="0"/>
            </w:pPr>
            <w:r/>
            <w:r>
              <w:rPr>
                <w:b w:val="0"/>
              </w:rPr>
              <w:t>PDF/XML parser advanced reconciliation can be added after manual upload validation.</w:t>
            </w:r>
          </w:p>
        </w:tc>
      </w:tr>
      <w:tr>
        <w:tc>
          <w:tcPr>
            <w:tcW w:type="dxa" w:w="3456"/>
            <w:vAlign w:val="top"/>
          </w:tcPr>
          <w:p>
            <w:pPr>
              <w:spacing w:after="0"/>
            </w:pPr>
            <w:r/>
            <w:r>
              <w:rPr>
                <w:b w:val="0"/>
              </w:rPr>
              <w:t>BESS-only optimization</w:t>
            </w:r>
          </w:p>
        </w:tc>
        <w:tc>
          <w:tcPr>
            <w:tcW w:type="dxa" w:w="3456"/>
            <w:vAlign w:val="top"/>
          </w:tcPr>
          <w:p>
            <w:pPr>
              <w:spacing w:after="0"/>
            </w:pPr>
            <w:r/>
            <w:r>
              <w:rPr>
                <w:b w:val="0"/>
              </w:rPr>
              <w:t>Yes: peak shaving, demand reduction, TOU energy shifting.</w:t>
            </w:r>
          </w:p>
        </w:tc>
        <w:tc>
          <w:tcPr>
            <w:tcW w:type="dxa" w:w="3456"/>
            <w:vAlign w:val="top"/>
          </w:tcPr>
          <w:p>
            <w:pPr>
              <w:spacing w:after="0"/>
            </w:pPr>
            <w:r/>
            <w:r>
              <w:rPr>
                <w:b w:val="0"/>
              </w:rPr>
              <w:t>Real-time EMS control integration.</w:t>
            </w:r>
          </w:p>
        </w:tc>
      </w:tr>
      <w:tr>
        <w:tc>
          <w:tcPr>
            <w:tcW w:type="dxa" w:w="3456"/>
            <w:vAlign w:val="top"/>
          </w:tcPr>
          <w:p>
            <w:pPr>
              <w:spacing w:after="0"/>
            </w:pPr>
            <w:r/>
            <w:r>
              <w:rPr>
                <w:b w:val="0"/>
              </w:rPr>
              <w:t>PV+BESS autoconsumption</w:t>
            </w:r>
          </w:p>
        </w:tc>
        <w:tc>
          <w:tcPr>
            <w:tcW w:type="dxa" w:w="3456"/>
            <w:vAlign w:val="top"/>
          </w:tcPr>
          <w:p>
            <w:pPr>
              <w:spacing w:after="0"/>
            </w:pPr>
            <w:r/>
            <w:r>
              <w:rPr>
                <w:b w:val="0"/>
              </w:rPr>
              <w:t>Yes in v1.1: no-export control and PV self-consumption.</w:t>
            </w:r>
          </w:p>
        </w:tc>
        <w:tc>
          <w:tcPr>
            <w:tcW w:type="dxa" w:w="3456"/>
            <w:vAlign w:val="top"/>
          </w:tcPr>
          <w:p>
            <w:pPr>
              <w:spacing w:after="0"/>
            </w:pPr>
            <w:r/>
            <w:r>
              <w:rPr>
                <w:b w:val="0"/>
              </w:rPr>
              <w:t>Complex wheeling, remote generation, market settlement.</w:t>
            </w:r>
          </w:p>
        </w:tc>
      </w:tr>
      <w:tr>
        <w:tc>
          <w:tcPr>
            <w:tcW w:type="dxa" w:w="3456"/>
            <w:vAlign w:val="top"/>
          </w:tcPr>
          <w:p>
            <w:pPr>
              <w:spacing w:after="0"/>
            </w:pPr>
            <w:r/>
            <w:r>
              <w:rPr>
                <w:b w:val="0"/>
              </w:rPr>
              <w:t>Tariff comparison</w:t>
            </w:r>
          </w:p>
        </w:tc>
        <w:tc>
          <w:tcPr>
            <w:tcW w:type="dxa" w:w="3456"/>
            <w:vAlign w:val="top"/>
          </w:tcPr>
          <w:p>
            <w:pPr>
              <w:spacing w:after="0"/>
            </w:pPr>
            <w:r/>
            <w:r>
              <w:rPr>
                <w:b w:val="0"/>
              </w:rPr>
              <w:t>GDMTO/GDMTH eligibility and migration warning; DIST/DIT only if voltage level matches.</w:t>
            </w:r>
          </w:p>
        </w:tc>
        <w:tc>
          <w:tcPr>
            <w:tcW w:type="dxa" w:w="3456"/>
            <w:vAlign w:val="top"/>
          </w:tcPr>
          <w:p>
            <w:pPr>
              <w:spacing w:after="0"/>
            </w:pPr>
            <w:r/>
            <w:r>
              <w:rPr>
                <w:b w:val="0"/>
              </w:rPr>
              <w:t>Regulatory tariff-change application workflow.</w:t>
            </w:r>
          </w:p>
        </w:tc>
      </w:tr>
      <w:tr>
        <w:tc>
          <w:tcPr>
            <w:tcW w:type="dxa" w:w="3456"/>
            <w:vAlign w:val="top"/>
          </w:tcPr>
          <w:p>
            <w:pPr>
              <w:spacing w:after="0"/>
            </w:pPr>
            <w:r/>
            <w:r>
              <w:rPr>
                <w:b w:val="0"/>
              </w:rPr>
              <w:t>MEM / qualified-user comparison</w:t>
            </w:r>
          </w:p>
        </w:tc>
        <w:tc>
          <w:tcPr>
            <w:tcW w:type="dxa" w:w="3456"/>
            <w:vAlign w:val="top"/>
          </w:tcPr>
          <w:p>
            <w:pPr>
              <w:spacing w:after="0"/>
            </w:pPr>
            <w:r/>
            <w:r>
              <w:rPr>
                <w:b w:val="0"/>
              </w:rPr>
              <w:t>Optional placeholder.</w:t>
            </w:r>
          </w:p>
        </w:tc>
        <w:tc>
          <w:tcPr>
            <w:tcW w:type="dxa" w:w="3456"/>
            <w:vAlign w:val="top"/>
          </w:tcPr>
          <w:p>
            <w:pPr>
              <w:spacing w:after="0"/>
            </w:pPr>
            <w:r/>
            <w:r>
              <w:rPr>
                <w:b w:val="0"/>
              </w:rPr>
              <w:t>Not part of core behind-the-meter MVP.</w:t>
            </w:r>
          </w:p>
        </w:tc>
      </w:tr>
      <w:tr>
        <w:tc>
          <w:tcPr>
            <w:tcW w:type="dxa" w:w="3456"/>
            <w:vAlign w:val="top"/>
          </w:tcPr>
          <w:p>
            <w:pPr>
              <w:spacing w:after="0"/>
            </w:pPr>
            <w:r/>
            <w:r>
              <w:rPr>
                <w:b w:val="0"/>
              </w:rPr>
              <w:t>Scrapers</w:t>
            </w:r>
          </w:p>
        </w:tc>
        <w:tc>
          <w:tcPr>
            <w:tcW w:type="dxa" w:w="3456"/>
            <w:vAlign w:val="top"/>
          </w:tcPr>
          <w:p>
            <w:pPr>
              <w:spacing w:after="0"/>
            </w:pPr>
            <w:r/>
            <w:r>
              <w:rPr>
                <w:b w:val="0"/>
              </w:rPr>
              <w:t>CFE/CNE tariffs, holidays, Banxico FX; optional CENACE.</w:t>
            </w:r>
          </w:p>
        </w:tc>
        <w:tc>
          <w:tcPr>
            <w:tcW w:type="dxa" w:w="3456"/>
            <w:vAlign w:val="top"/>
          </w:tcPr>
          <w:p>
            <w:pPr>
              <w:spacing w:after="0"/>
            </w:pPr>
            <w:r/>
            <w:r>
              <w:rPr>
                <w:b w:val="0"/>
              </w:rPr>
              <w:t>Automated CFE bill retrieval from customer account unless authorized.</w:t>
            </w:r>
          </w:p>
        </w:tc>
      </w:tr>
    </w:tbl>
    <w:p/>
    <w:p>
      <w:pPr>
        <w:pStyle w:val="Heading1"/>
      </w:pPr>
      <w:r>
        <w:t>4. Target Users and Operating Modes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0"/>
            </w:pPr>
            <w:r/>
            <w:r>
              <w:rPr>
                <w:b/>
                <w:color w:val="FFFFFF"/>
              </w:rPr>
              <w:t>Mode</w:t>
            </w:r>
          </w:p>
        </w:tc>
        <w:tc>
          <w:tcPr>
            <w:tcW w:type="dxa" w:w="3456"/>
            <w:vAlign w:val="top"/>
            <w:shd w:fill="1F4E79"/>
          </w:tcPr>
          <w:p>
            <w:pPr>
              <w:spacing w:after="0"/>
            </w:pPr>
            <w:r/>
            <w:r>
              <w:rPr>
                <w:b/>
                <w:color w:val="FFFFFF"/>
              </w:rPr>
              <w:t>Description</w:t>
            </w:r>
          </w:p>
        </w:tc>
        <w:tc>
          <w:tcPr>
            <w:tcW w:type="dxa" w:w="3456"/>
            <w:vAlign w:val="top"/>
            <w:shd w:fill="1F4E79"/>
          </w:tcPr>
          <w:p>
            <w:pPr>
              <w:spacing w:after="0"/>
            </w:pPr>
            <w:r/>
            <w:r>
              <w:rPr>
                <w:b/>
                <w:color w:val="FFFFFF"/>
              </w:rPr>
              <w:t>Primary business question</w:t>
            </w:r>
          </w:p>
        </w:tc>
      </w:tr>
      <w:tr>
        <w:tc>
          <w:tcPr>
            <w:tcW w:type="dxa" w:w="3456"/>
            <w:vAlign w:val="top"/>
          </w:tcPr>
          <w:p>
            <w:pPr>
              <w:spacing w:after="0"/>
            </w:pPr>
            <w:r/>
            <w:r>
              <w:rPr>
                <w:b w:val="0"/>
              </w:rPr>
              <w:t>Mode A: BESS-only</w:t>
            </w:r>
          </w:p>
        </w:tc>
        <w:tc>
          <w:tcPr>
            <w:tcW w:type="dxa" w:w="3456"/>
            <w:vAlign w:val="top"/>
          </w:tcPr>
          <w:p>
            <w:pPr>
              <w:spacing w:after="0"/>
            </w:pPr>
            <w:r/>
            <w:r>
              <w:rPr>
                <w:b w:val="0"/>
              </w:rPr>
              <w:t>Battery charges from grid and discharges to reduce Dmaxpunta, Dmaxmensual and peak-period kWh.</w:t>
            </w:r>
          </w:p>
        </w:tc>
        <w:tc>
          <w:tcPr>
            <w:tcW w:type="dxa" w:w="3456"/>
            <w:vAlign w:val="top"/>
          </w:tcPr>
          <w:p>
            <w:pPr>
              <w:spacing w:after="0"/>
            </w:pPr>
            <w:r/>
            <w:r>
              <w:rPr>
                <w:b w:val="0"/>
              </w:rPr>
              <w:t>What BESS size maximizes bill savings without PV?</w:t>
            </w:r>
          </w:p>
        </w:tc>
      </w:tr>
      <w:tr>
        <w:tc>
          <w:tcPr>
            <w:tcW w:type="dxa" w:w="3456"/>
            <w:vAlign w:val="top"/>
          </w:tcPr>
          <w:p>
            <w:pPr>
              <w:spacing w:after="0"/>
            </w:pPr>
            <w:r/>
            <w:r>
              <w:rPr>
                <w:b w:val="0"/>
              </w:rPr>
              <w:t>Mode B: PV+BESS no export</w:t>
            </w:r>
          </w:p>
        </w:tc>
        <w:tc>
          <w:tcPr>
            <w:tcW w:type="dxa" w:w="3456"/>
            <w:vAlign w:val="top"/>
          </w:tcPr>
          <w:p>
            <w:pPr>
              <w:spacing w:after="0"/>
            </w:pPr>
            <w:r/>
            <w:r>
              <w:rPr>
                <w:b w:val="0"/>
              </w:rPr>
              <w:t>PV serves load first, surplus charges BESS, remaining surplus is curtailed unless export is enabled.</w:t>
            </w:r>
          </w:p>
        </w:tc>
        <w:tc>
          <w:tcPr>
            <w:tcW w:type="dxa" w:w="3456"/>
            <w:vAlign w:val="top"/>
          </w:tcPr>
          <w:p>
            <w:pPr>
              <w:spacing w:after="0"/>
            </w:pPr>
            <w:r/>
            <w:r>
              <w:rPr>
                <w:b w:val="0"/>
              </w:rPr>
              <w:t>How much PV curtailment can be avoided and how much peak demand can be reduced?</w:t>
            </w:r>
          </w:p>
        </w:tc>
      </w:tr>
      <w:tr>
        <w:tc>
          <w:tcPr>
            <w:tcW w:type="dxa" w:w="3456"/>
            <w:vAlign w:val="top"/>
          </w:tcPr>
          <w:p>
            <w:pPr>
              <w:spacing w:after="0"/>
            </w:pPr>
            <w:r/>
            <w:r>
              <w:rPr>
                <w:b w:val="0"/>
              </w:rPr>
              <w:t>Mode C: PV+BESS + grid charging</w:t>
            </w:r>
          </w:p>
        </w:tc>
        <w:tc>
          <w:tcPr>
            <w:tcW w:type="dxa" w:w="3456"/>
            <w:vAlign w:val="top"/>
          </w:tcPr>
          <w:p>
            <w:pPr>
              <w:spacing w:after="0"/>
            </w:pPr>
            <w:r/>
            <w:r>
              <w:rPr>
                <w:b w:val="0"/>
              </w:rPr>
              <w:t>Grid charging allowed only in base period unless optimizer proves savings.</w:t>
            </w:r>
          </w:p>
        </w:tc>
        <w:tc>
          <w:tcPr>
            <w:tcW w:type="dxa" w:w="3456"/>
            <w:vAlign w:val="top"/>
          </w:tcPr>
          <w:p>
            <w:pPr>
              <w:spacing w:after="0"/>
            </w:pPr>
            <w:r/>
            <w:r>
              <w:rPr>
                <w:b w:val="0"/>
              </w:rPr>
              <w:t>Does grid-charging improve savings after RTE and degradation?</w:t>
            </w:r>
          </w:p>
        </w:tc>
      </w:tr>
      <w:tr>
        <w:tc>
          <w:tcPr>
            <w:tcW w:type="dxa" w:w="3456"/>
            <w:vAlign w:val="top"/>
          </w:tcPr>
          <w:p>
            <w:pPr>
              <w:spacing w:after="0"/>
            </w:pPr>
            <w:r/>
            <w:r>
              <w:rPr>
                <w:b w:val="0"/>
              </w:rPr>
              <w:t>Mode D: Backup reserve</w:t>
            </w:r>
          </w:p>
        </w:tc>
        <w:tc>
          <w:tcPr>
            <w:tcW w:type="dxa" w:w="3456"/>
            <w:vAlign w:val="top"/>
          </w:tcPr>
          <w:p>
            <w:pPr>
              <w:spacing w:after="0"/>
            </w:pPr>
            <w:r/>
            <w:r>
              <w:rPr>
                <w:b w:val="0"/>
              </w:rPr>
              <w:t>Minimum SOC locked for critical load backup.</w:t>
            </w:r>
          </w:p>
        </w:tc>
        <w:tc>
          <w:tcPr>
            <w:tcW w:type="dxa" w:w="3456"/>
            <w:vAlign w:val="top"/>
          </w:tcPr>
          <w:p>
            <w:pPr>
              <w:spacing w:after="0"/>
            </w:pPr>
            <w:r/>
            <w:r>
              <w:rPr>
                <w:b w:val="0"/>
              </w:rPr>
              <w:t>How much savings are sacrificed by resilience reserve?</w:t>
            </w:r>
          </w:p>
        </w:tc>
      </w:tr>
    </w:tbl>
    <w:p/>
    <w:p>
      <w:pPr>
        <w:pStyle w:val="Heading1"/>
      </w:pPr>
      <w:r>
        <w:t>5. End-to-End Flow</w:t>
      </w:r>
    </w:p>
    <w:p>
      <w:pPr>
        <w:pStyle w:val="CodeBlock"/>
      </w:pPr>
      <w:r>
        <w:rPr>
          <w:rFonts w:ascii="Courier New" w:hAnsi="Courier New" w:eastAsia="Courier New"/>
          <w:sz w:val="16"/>
        </w:rPr>
        <w:t>[Start]</w:t>
        <w:br/>
      </w:r>
      <w:r>
        <w:rPr>
          <w:rFonts w:ascii="Courier New" w:hAnsi="Courier New" w:eastAsia="Courier New"/>
          <w:sz w:val="16"/>
        </w:rPr>
        <w:t xml:space="preserve">  |</w:t>
        <w:br/>
      </w:r>
      <w:r>
        <w:rPr>
          <w:rFonts w:ascii="Courier New" w:hAnsi="Courier New" w:eastAsia="Courier New"/>
          <w:sz w:val="16"/>
        </w:rPr>
        <w:t xml:space="preserve">  v</w:t>
        <w:br/>
      </w:r>
      <w:r>
        <w:rPr>
          <w:rFonts w:ascii="Courier New" w:hAnsi="Courier New" w:eastAsia="Courier New"/>
          <w:sz w:val="16"/>
        </w:rPr>
        <w:t>[Create Customer Project]</w:t>
        <w:br/>
      </w:r>
      <w:r>
        <w:rPr>
          <w:rFonts w:ascii="Courier New" w:hAnsi="Courier New" w:eastAsia="Courier New"/>
          <w:sz w:val="16"/>
        </w:rPr>
        <w:t xml:space="preserve">  |</w:t>
        <w:br/>
      </w:r>
      <w:r>
        <w:rPr>
          <w:rFonts w:ascii="Courier New" w:hAnsi="Courier New" w:eastAsia="Courier New"/>
          <w:sz w:val="16"/>
        </w:rPr>
        <w:t xml:space="preserve">  +--&gt; Upload 15-min load data</w:t>
        <w:br/>
      </w:r>
      <w:r>
        <w:rPr>
          <w:rFonts w:ascii="Courier New" w:hAnsi="Courier New" w:eastAsia="Courier New"/>
          <w:sz w:val="16"/>
        </w:rPr>
        <w:t xml:space="preserve">  +--&gt; Upload CFE bills / manual bill totals</w:t>
        <w:br/>
      </w:r>
      <w:r>
        <w:rPr>
          <w:rFonts w:ascii="Courier New" w:hAnsi="Courier New" w:eastAsia="Courier New"/>
          <w:sz w:val="16"/>
        </w:rPr>
        <w:t xml:space="preserve">  +--&gt; Select tariff, division, state, municipality</w:t>
        <w:br/>
      </w:r>
      <w:r>
        <w:rPr>
          <w:rFonts w:ascii="Courier New" w:hAnsi="Courier New" w:eastAsia="Courier New"/>
          <w:sz w:val="16"/>
        </w:rPr>
        <w:t xml:space="preserve">  +--&gt; Input connected load, contracted demand, substation kVA, largest motor</w:t>
        <w:br/>
      </w:r>
      <w:r>
        <w:rPr>
          <w:rFonts w:ascii="Courier New" w:hAnsi="Courier New" w:eastAsia="Courier New"/>
          <w:sz w:val="16"/>
        </w:rPr>
        <w:t xml:space="preserve">  |</w:t>
        <w:br/>
      </w:r>
      <w:r>
        <w:rPr>
          <w:rFonts w:ascii="Courier New" w:hAnsi="Courier New" w:eastAsia="Courier New"/>
          <w:sz w:val="16"/>
        </w:rPr>
        <w:t xml:space="preserve">  v</w:t>
        <w:br/>
      </w:r>
      <w:r>
        <w:rPr>
          <w:rFonts w:ascii="Courier New" w:hAnsi="Courier New" w:eastAsia="Courier New"/>
          <w:sz w:val="16"/>
        </w:rPr>
        <w:t>[Data Validation]</w:t>
        <w:br/>
      </w:r>
      <w:r>
        <w:rPr>
          <w:rFonts w:ascii="Courier New" w:hAnsi="Courier New" w:eastAsia="Courier New"/>
          <w:sz w:val="16"/>
        </w:rPr>
        <w:t xml:space="preserve">  |</w:t>
        <w:br/>
      </w:r>
      <w:r>
        <w:rPr>
          <w:rFonts w:ascii="Courier New" w:hAnsi="Courier New" w:eastAsia="Courier New"/>
          <w:sz w:val="16"/>
        </w:rPr>
        <w:t xml:space="preserve">  +--&gt; Check timestamp gaps / duplicates / timezone</w:t>
        <w:br/>
      </w:r>
      <w:r>
        <w:rPr>
          <w:rFonts w:ascii="Courier New" w:hAnsi="Courier New" w:eastAsia="Courier New"/>
          <w:sz w:val="16"/>
        </w:rPr>
        <w:t xml:space="preserve">  +--&gt; Check plausible load values and meter interval</w:t>
        <w:br/>
      </w:r>
      <w:r>
        <w:rPr>
          <w:rFonts w:ascii="Courier New" w:hAnsi="Courier New" w:eastAsia="Courier New"/>
          <w:sz w:val="16"/>
        </w:rPr>
        <w:t xml:space="preserve">  +--&gt; Validate tariff calendar coverage</w:t>
        <w:br/>
      </w:r>
      <w:r>
        <w:rPr>
          <w:rFonts w:ascii="Courier New" w:hAnsi="Courier New" w:eastAsia="Courier New"/>
          <w:sz w:val="16"/>
        </w:rPr>
        <w:t xml:space="preserve">  |</w:t>
        <w:br/>
      </w:r>
      <w:r>
        <w:rPr>
          <w:rFonts w:ascii="Courier New" w:hAnsi="Courier New" w:eastAsia="Courier New"/>
          <w:sz w:val="16"/>
        </w:rPr>
        <w:t xml:space="preserve">  v</w:t>
        <w:br/>
      </w:r>
      <w:r>
        <w:rPr>
          <w:rFonts w:ascii="Courier New" w:hAnsi="Courier New" w:eastAsia="Courier New"/>
          <w:sz w:val="16"/>
        </w:rPr>
        <w:t>[Tariff Calendar + Rates]</w:t>
        <w:br/>
      </w:r>
      <w:r>
        <w:rPr>
          <w:rFonts w:ascii="Courier New" w:hAnsi="Courier New" w:eastAsia="Courier New"/>
          <w:sz w:val="16"/>
        </w:rPr>
        <w:t xml:space="preserve">  |</w:t>
        <w:br/>
      </w:r>
      <w:r>
        <w:rPr>
          <w:rFonts w:ascii="Courier New" w:hAnsi="Courier New" w:eastAsia="Courier New"/>
          <w:sz w:val="16"/>
        </w:rPr>
        <w:t xml:space="preserve">  +--&gt; Build 15-minute periods: base / intermedia / punta / semipunta</w:t>
        <w:br/>
      </w:r>
      <w:r>
        <w:rPr>
          <w:rFonts w:ascii="Courier New" w:hAnsi="Courier New" w:eastAsia="Courier New"/>
          <w:sz w:val="16"/>
        </w:rPr>
        <w:t xml:space="preserve">  +--&gt; Apply holiday rules</w:t>
        <w:br/>
      </w:r>
      <w:r>
        <w:rPr>
          <w:rFonts w:ascii="Courier New" w:hAnsi="Courier New" w:eastAsia="Courier New"/>
          <w:sz w:val="16"/>
        </w:rPr>
        <w:t xml:space="preserve">  +--&gt; Load monthly CFE/CNE rates and factor de carga</w:t>
        <w:br/>
      </w:r>
      <w:r>
        <w:rPr>
          <w:rFonts w:ascii="Courier New" w:hAnsi="Courier New" w:eastAsia="Courier New"/>
          <w:sz w:val="16"/>
        </w:rPr>
        <w:t xml:space="preserve">  |</w:t>
        <w:br/>
      </w:r>
      <w:r>
        <w:rPr>
          <w:rFonts w:ascii="Courier New" w:hAnsi="Courier New" w:eastAsia="Courier New"/>
          <w:sz w:val="16"/>
        </w:rPr>
        <w:t xml:space="preserve">  v</w:t>
        <w:br/>
      </w:r>
      <w:r>
        <w:rPr>
          <w:rFonts w:ascii="Courier New" w:hAnsi="Courier New" w:eastAsia="Courier New"/>
          <w:sz w:val="16"/>
        </w:rPr>
        <w:t>[Baseline Bill Reconstruction]</w:t>
        <w:br/>
      </w:r>
      <w:r>
        <w:rPr>
          <w:rFonts w:ascii="Courier New" w:hAnsi="Courier New" w:eastAsia="Courier New"/>
          <w:sz w:val="16"/>
        </w:rPr>
        <w:t xml:space="preserve">  |</w:t>
        <w:br/>
      </w:r>
      <w:r>
        <w:rPr>
          <w:rFonts w:ascii="Courier New" w:hAnsi="Courier New" w:eastAsia="Courier New"/>
          <w:sz w:val="16"/>
        </w:rPr>
        <w:t xml:space="preserve">  +--&gt; kWh by period</w:t>
        <w:br/>
      </w:r>
      <w:r>
        <w:rPr>
          <w:rFonts w:ascii="Courier New" w:hAnsi="Courier New" w:eastAsia="Courier New"/>
          <w:sz w:val="16"/>
        </w:rPr>
        <w:t xml:space="preserve">  +--&gt; Dmaxpunta, Dmaxmensual</w:t>
        <w:br/>
      </w:r>
      <w:r>
        <w:rPr>
          <w:rFonts w:ascii="Courier New" w:hAnsi="Courier New" w:eastAsia="Courier New"/>
          <w:sz w:val="16"/>
        </w:rPr>
        <w:t xml:space="preserve">  +--&gt; capacity billing kW and distribution billing kW</w:t>
        <w:br/>
      </w:r>
      <w:r>
        <w:rPr>
          <w:rFonts w:ascii="Courier New" w:hAnsi="Courier New" w:eastAsia="Courier New"/>
          <w:sz w:val="16"/>
        </w:rPr>
        <w:t xml:space="preserve">  +--&gt; invoice reconciliation</w:t>
        <w:br/>
      </w:r>
      <w:r>
        <w:rPr>
          <w:rFonts w:ascii="Courier New" w:hAnsi="Courier New" w:eastAsia="Courier New"/>
          <w:sz w:val="16"/>
        </w:rPr>
        <w:t xml:space="preserve">  |</w:t>
        <w:br/>
      </w:r>
      <w:r>
        <w:rPr>
          <w:rFonts w:ascii="Courier New" w:hAnsi="Courier New" w:eastAsia="Courier New"/>
          <w:sz w:val="16"/>
        </w:rPr>
        <w:t xml:space="preserve">  v</w:t>
        <w:br/>
      </w:r>
      <w:r>
        <w:rPr>
          <w:rFonts w:ascii="Courier New" w:hAnsi="Courier New" w:eastAsia="Courier New"/>
          <w:sz w:val="16"/>
        </w:rPr>
        <w:t>[Optimization Engine]</w:t>
        <w:br/>
      </w:r>
      <w:r>
        <w:rPr>
          <w:rFonts w:ascii="Courier New" w:hAnsi="Courier New" w:eastAsia="Courier New"/>
          <w:sz w:val="16"/>
        </w:rPr>
        <w:t xml:space="preserve">  |</w:t>
        <w:br/>
      </w:r>
      <w:r>
        <w:rPr>
          <w:rFonts w:ascii="Courier New" w:hAnsi="Courier New" w:eastAsia="Courier New"/>
          <w:sz w:val="16"/>
        </w:rPr>
        <w:t xml:space="preserve">  +--&gt; BESS-only dispatch</w:t>
        <w:br/>
      </w:r>
      <w:r>
        <w:rPr>
          <w:rFonts w:ascii="Courier New" w:hAnsi="Courier New" w:eastAsia="Courier New"/>
          <w:sz w:val="16"/>
        </w:rPr>
        <w:t xml:space="preserve">  +--&gt; PV+BESS no-export dispatch</w:t>
        <w:br/>
      </w:r>
      <w:r>
        <w:rPr>
          <w:rFonts w:ascii="Courier New" w:hAnsi="Courier New" w:eastAsia="Courier New"/>
          <w:sz w:val="16"/>
        </w:rPr>
        <w:t xml:space="preserve">  +--&gt; optional grid charging and backup reserve</w:t>
        <w:br/>
      </w:r>
      <w:r>
        <w:rPr>
          <w:rFonts w:ascii="Courier New" w:hAnsi="Courier New" w:eastAsia="Courier New"/>
          <w:sz w:val="16"/>
        </w:rPr>
        <w:t xml:space="preserve">  |</w:t>
        <w:br/>
      </w:r>
      <w:r>
        <w:rPr>
          <w:rFonts w:ascii="Courier New" w:hAnsi="Courier New" w:eastAsia="Courier New"/>
          <w:sz w:val="16"/>
        </w:rPr>
        <w:t xml:space="preserve">  v</w:t>
        <w:br/>
      </w:r>
      <w:r>
        <w:rPr>
          <w:rFonts w:ascii="Courier New" w:hAnsi="Courier New" w:eastAsia="Courier New"/>
          <w:sz w:val="16"/>
        </w:rPr>
        <w:t>[Optimized Bill + Financials]</w:t>
        <w:br/>
      </w:r>
      <w:r>
        <w:rPr>
          <w:rFonts w:ascii="Courier New" w:hAnsi="Courier New" w:eastAsia="Courier New"/>
          <w:sz w:val="16"/>
        </w:rPr>
        <w:t xml:space="preserve">  |</w:t>
        <w:br/>
      </w:r>
      <w:r>
        <w:rPr>
          <w:rFonts w:ascii="Courier New" w:hAnsi="Courier New" w:eastAsia="Courier New"/>
          <w:sz w:val="16"/>
        </w:rPr>
        <w:t xml:space="preserve">  +--&gt; savings by tariff component</w:t>
        <w:br/>
      </w:r>
      <w:r>
        <w:rPr>
          <w:rFonts w:ascii="Courier New" w:hAnsi="Courier New" w:eastAsia="Courier New"/>
          <w:sz w:val="16"/>
        </w:rPr>
        <w:t xml:space="preserve">  +--&gt; IRR, NPV, payback, sensitivity</w:t>
        <w:br/>
      </w:r>
      <w:r>
        <w:rPr>
          <w:rFonts w:ascii="Courier New" w:hAnsi="Courier New" w:eastAsia="Courier New"/>
          <w:sz w:val="16"/>
        </w:rPr>
        <w:t xml:space="preserve">  |</w:t>
        <w:br/>
      </w:r>
      <w:r>
        <w:rPr>
          <w:rFonts w:ascii="Courier New" w:hAnsi="Courier New" w:eastAsia="Courier New"/>
          <w:sz w:val="16"/>
        </w:rPr>
        <w:t xml:space="preserve">  v</w:t>
        <w:br/>
      </w:r>
      <w:r>
        <w:rPr>
          <w:rFonts w:ascii="Courier New" w:hAnsi="Courier New" w:eastAsia="Courier New"/>
          <w:sz w:val="16"/>
        </w:rPr>
        <w:t>[Reports]</w:t>
        <w:br/>
      </w:r>
      <w:r>
        <w:rPr>
          <w:rFonts w:ascii="Courier New" w:hAnsi="Courier New" w:eastAsia="Courier New"/>
          <w:sz w:val="16"/>
        </w:rPr>
        <w:t xml:space="preserve">  |</w:t>
        <w:br/>
      </w:r>
      <w:r>
        <w:rPr>
          <w:rFonts w:ascii="Courier New" w:hAnsi="Courier New" w:eastAsia="Courier New"/>
          <w:sz w:val="16"/>
        </w:rPr>
        <w:t xml:space="preserve">  +--&gt; Excel + PDF + dispatch CSV</w:t>
        <w:br/>
      </w:r>
      <w:r>
        <w:rPr>
          <w:rFonts w:ascii="Courier New" w:hAnsi="Courier New" w:eastAsia="Courier New"/>
          <w:sz w:val="16"/>
        </w:rPr>
        <w:t>[End]</w:t>
        <w:br/>
      </w:r>
    </w:p>
    <w:p>
      <w:pPr>
        <w:pStyle w:val="Heading1"/>
      </w:pPr>
      <w:r>
        <w:t>6. Repository and Folder Structure</w:t>
      </w:r>
    </w:p>
    <w:p>
      <w:pPr>
        <w:pStyle w:val="CodeBlock"/>
      </w:pPr>
      <w:r>
        <w:rPr>
          <w:rFonts w:ascii="Courier New" w:hAnsi="Courier New" w:eastAsia="Courier New"/>
          <w:sz w:val="16"/>
        </w:rPr>
        <w:t>Optimus_Mexico_Behind_TheMeter/</w:t>
        <w:br/>
      </w:r>
      <w:r>
        <w:rPr>
          <w:rFonts w:ascii="Courier New" w:hAnsi="Courier New" w:eastAsia="Courier New"/>
          <w:sz w:val="16"/>
        </w:rPr>
        <w:t xml:space="preserve">  app.py</w:t>
        <w:br/>
      </w:r>
      <w:r>
        <w:rPr>
          <w:rFonts w:ascii="Courier New" w:hAnsi="Courier New" w:eastAsia="Courier New"/>
          <w:sz w:val="16"/>
        </w:rPr>
        <w:t xml:space="preserve">  README.md</w:t>
        <w:br/>
      </w:r>
      <w:r>
        <w:rPr>
          <w:rFonts w:ascii="Courier New" w:hAnsi="Courier New" w:eastAsia="Courier New"/>
          <w:sz w:val="16"/>
        </w:rPr>
        <w:t xml:space="preserve">  requirements.txt</w:t>
        <w:br/>
      </w:r>
      <w:r>
        <w:rPr>
          <w:rFonts w:ascii="Courier New" w:hAnsi="Courier New" w:eastAsia="Courier New"/>
          <w:sz w:val="16"/>
        </w:rPr>
        <w:t xml:space="preserve">  config/</w:t>
        <w:br/>
      </w:r>
      <w:r>
        <w:rPr>
          <w:rFonts w:ascii="Courier New" w:hAnsi="Courier New" w:eastAsia="Courier New"/>
          <w:sz w:val="16"/>
        </w:rPr>
        <w:t xml:space="preserve">    module_config.yaml</w:t>
        <w:br/>
      </w:r>
      <w:r>
        <w:rPr>
          <w:rFonts w:ascii="Courier New" w:hAnsi="Courier New" w:eastAsia="Courier New"/>
          <w:sz w:val="16"/>
        </w:rPr>
        <w:t xml:space="preserve">    tariff_rules_mexico.yaml</w:t>
        <w:br/>
      </w:r>
      <w:r>
        <w:rPr>
          <w:rFonts w:ascii="Courier New" w:hAnsi="Courier New" w:eastAsia="Courier New"/>
          <w:sz w:val="16"/>
        </w:rPr>
        <w:t xml:space="preserve">    bess_defaults.yaml</w:t>
        <w:br/>
      </w:r>
      <w:r>
        <w:rPr>
          <w:rFonts w:ascii="Courier New" w:hAnsi="Courier New" w:eastAsia="Courier New"/>
          <w:sz w:val="16"/>
        </w:rPr>
        <w:t xml:space="preserve">    financial_defaults.yaml</w:t>
        <w:br/>
      </w:r>
      <w:r>
        <w:rPr>
          <w:rFonts w:ascii="Courier New" w:hAnsi="Courier New" w:eastAsia="Courier New"/>
          <w:sz w:val="16"/>
        </w:rPr>
        <w:t xml:space="preserve">  data/</w:t>
        <w:br/>
      </w:r>
      <w:r>
        <w:rPr>
          <w:rFonts w:ascii="Courier New" w:hAnsi="Courier New" w:eastAsia="Courier New"/>
          <w:sz w:val="16"/>
        </w:rPr>
        <w:t xml:space="preserve">    raw/</w:t>
        <w:br/>
      </w:r>
      <w:r>
        <w:rPr>
          <w:rFonts w:ascii="Courier New" w:hAnsi="Courier New" w:eastAsia="Courier New"/>
          <w:sz w:val="16"/>
        </w:rPr>
        <w:t xml:space="preserve">      cfe_bills/</w:t>
        <w:br/>
      </w:r>
      <w:r>
        <w:rPr>
          <w:rFonts w:ascii="Courier New" w:hAnsi="Courier New" w:eastAsia="Courier New"/>
          <w:sz w:val="16"/>
        </w:rPr>
        <w:t xml:space="preserve">      meter_data/</w:t>
        <w:br/>
      </w:r>
      <w:r>
        <w:rPr>
          <w:rFonts w:ascii="Courier New" w:hAnsi="Courier New" w:eastAsia="Courier New"/>
          <w:sz w:val="16"/>
        </w:rPr>
        <w:t xml:space="preserve">      pv_profiles/</w:t>
        <w:br/>
      </w:r>
      <w:r>
        <w:rPr>
          <w:rFonts w:ascii="Courier New" w:hAnsi="Courier New" w:eastAsia="Courier New"/>
          <w:sz w:val="16"/>
        </w:rPr>
        <w:t xml:space="preserve">      tariff_documents/</w:t>
        <w:br/>
      </w:r>
      <w:r>
        <w:rPr>
          <w:rFonts w:ascii="Courier New" w:hAnsi="Courier New" w:eastAsia="Courier New"/>
          <w:sz w:val="16"/>
        </w:rPr>
        <w:t xml:space="preserve">    processed/</w:t>
        <w:br/>
      </w:r>
      <w:r>
        <w:rPr>
          <w:rFonts w:ascii="Courier New" w:hAnsi="Courier New" w:eastAsia="Courier New"/>
          <w:sz w:val="16"/>
        </w:rPr>
        <w:t xml:space="preserve">      load_15min.parquet</w:t>
        <w:br/>
      </w:r>
      <w:r>
        <w:rPr>
          <w:rFonts w:ascii="Courier New" w:hAnsi="Courier New" w:eastAsia="Courier New"/>
          <w:sz w:val="16"/>
        </w:rPr>
        <w:t xml:space="preserve">      pv_15min.parquet</w:t>
        <w:br/>
      </w:r>
      <w:r>
        <w:rPr>
          <w:rFonts w:ascii="Courier New" w:hAnsi="Courier New" w:eastAsia="Courier New"/>
          <w:sz w:val="16"/>
        </w:rPr>
        <w:t xml:space="preserve">      tariff_calendar_15min.parquet</w:t>
        <w:br/>
      </w:r>
      <w:r>
        <w:rPr>
          <w:rFonts w:ascii="Courier New" w:hAnsi="Courier New" w:eastAsia="Courier New"/>
          <w:sz w:val="16"/>
        </w:rPr>
        <w:t xml:space="preserve">      tariff_rates.parquet</w:t>
        <w:br/>
      </w:r>
      <w:r>
        <w:rPr>
          <w:rFonts w:ascii="Courier New" w:hAnsi="Courier New" w:eastAsia="Courier New"/>
          <w:sz w:val="16"/>
        </w:rPr>
        <w:t xml:space="preserve">    reference/</w:t>
        <w:br/>
      </w:r>
      <w:r>
        <w:rPr>
          <w:rFonts w:ascii="Courier New" w:hAnsi="Courier New" w:eastAsia="Courier New"/>
          <w:sz w:val="16"/>
        </w:rPr>
        <w:t xml:space="preserve">      mexico_holidays.csv</w:t>
        <w:br/>
      </w:r>
      <w:r>
        <w:rPr>
          <w:rFonts w:ascii="Courier New" w:hAnsi="Courier New" w:eastAsia="Courier New"/>
          <w:sz w:val="16"/>
        </w:rPr>
        <w:t xml:space="preserve">      factor_carga.csv</w:t>
        <w:br/>
      </w:r>
      <w:r>
        <w:rPr>
          <w:rFonts w:ascii="Courier New" w:hAnsi="Courier New" w:eastAsia="Courier New"/>
          <w:sz w:val="16"/>
        </w:rPr>
        <w:t xml:space="preserve">      tariff_periods.csv</w:t>
        <w:br/>
      </w:r>
      <w:r>
        <w:rPr>
          <w:rFonts w:ascii="Courier New" w:hAnsi="Courier New" w:eastAsia="Courier New"/>
          <w:sz w:val="16"/>
        </w:rPr>
        <w:t xml:space="preserve">      cfe_divisions.csv</w:t>
        <w:br/>
      </w:r>
      <w:r>
        <w:rPr>
          <w:rFonts w:ascii="Courier New" w:hAnsi="Courier New" w:eastAsia="Courier New"/>
          <w:sz w:val="16"/>
        </w:rPr>
        <w:t xml:space="preserve">      fx_mxn_usd.csv</w:t>
        <w:br/>
      </w:r>
      <w:r>
        <w:rPr>
          <w:rFonts w:ascii="Courier New" w:hAnsi="Courier New" w:eastAsia="Courier New"/>
          <w:sz w:val="16"/>
        </w:rPr>
        <w:t xml:space="preserve">  modules/</w:t>
        <w:br/>
      </w:r>
      <w:r>
        <w:rPr>
          <w:rFonts w:ascii="Courier New" w:hAnsi="Courier New" w:eastAsia="Courier New"/>
          <w:sz w:val="16"/>
        </w:rPr>
        <w:t xml:space="preserve">    ingestion/</w:t>
        <w:br/>
      </w:r>
      <w:r>
        <w:rPr>
          <w:rFonts w:ascii="Courier New" w:hAnsi="Courier New" w:eastAsia="Courier New"/>
          <w:sz w:val="16"/>
        </w:rPr>
        <w:t xml:space="preserve">      bill_parser.py</w:t>
        <w:br/>
      </w:r>
      <w:r>
        <w:rPr>
          <w:rFonts w:ascii="Courier New" w:hAnsi="Courier New" w:eastAsia="Courier New"/>
          <w:sz w:val="16"/>
        </w:rPr>
        <w:t xml:space="preserve">      meter_loader.py</w:t>
        <w:br/>
      </w:r>
      <w:r>
        <w:rPr>
          <w:rFonts w:ascii="Courier New" w:hAnsi="Courier New" w:eastAsia="Courier New"/>
          <w:sz w:val="16"/>
        </w:rPr>
        <w:t xml:space="preserve">      pv_loader.py</w:t>
        <w:br/>
      </w:r>
      <w:r>
        <w:rPr>
          <w:rFonts w:ascii="Courier New" w:hAnsi="Courier New" w:eastAsia="Courier New"/>
          <w:sz w:val="16"/>
        </w:rPr>
        <w:t xml:space="preserve">      tariff_table_loader.py</w:t>
        <w:br/>
      </w:r>
      <w:r>
        <w:rPr>
          <w:rFonts w:ascii="Courier New" w:hAnsi="Courier New" w:eastAsia="Courier New"/>
          <w:sz w:val="16"/>
        </w:rPr>
        <w:t xml:space="preserve">    tariff_engine/</w:t>
        <w:br/>
      </w:r>
      <w:r>
        <w:rPr>
          <w:rFonts w:ascii="Courier New" w:hAnsi="Courier New" w:eastAsia="Courier New"/>
          <w:sz w:val="16"/>
        </w:rPr>
        <w:t xml:space="preserve">      tariff_classifier.py</w:t>
        <w:br/>
      </w:r>
      <w:r>
        <w:rPr>
          <w:rFonts w:ascii="Courier New" w:hAnsi="Courier New" w:eastAsia="Courier New"/>
          <w:sz w:val="16"/>
        </w:rPr>
        <w:t xml:space="preserve">      tariff_calendar_builder.py</w:t>
        <w:br/>
      </w:r>
      <w:r>
        <w:rPr>
          <w:rFonts w:ascii="Courier New" w:hAnsi="Courier New" w:eastAsia="Courier New"/>
          <w:sz w:val="16"/>
        </w:rPr>
        <w:t xml:space="preserve">      demand_charge_engine.py</w:t>
        <w:br/>
      </w:r>
      <w:r>
        <w:rPr>
          <w:rFonts w:ascii="Courier New" w:hAnsi="Courier New" w:eastAsia="Courier New"/>
          <w:sz w:val="16"/>
        </w:rPr>
        <w:t xml:space="preserve">      cfe_bill_engine.py</w:t>
        <w:br/>
      </w:r>
      <w:r>
        <w:rPr>
          <w:rFonts w:ascii="Courier New" w:hAnsi="Courier New" w:eastAsia="Courier New"/>
          <w:sz w:val="16"/>
        </w:rPr>
        <w:t xml:space="preserve">      tariff_comparison.py</w:t>
        <w:br/>
      </w:r>
      <w:r>
        <w:rPr>
          <w:rFonts w:ascii="Courier New" w:hAnsi="Courier New" w:eastAsia="Courier New"/>
          <w:sz w:val="16"/>
        </w:rPr>
        <w:t xml:space="preserve">    optimization/</w:t>
        <w:br/>
      </w:r>
      <w:r>
        <w:rPr>
          <w:rFonts w:ascii="Courier New" w:hAnsi="Courier New" w:eastAsia="Courier New"/>
          <w:sz w:val="16"/>
        </w:rPr>
        <w:t xml:space="preserve">      bess_rule_dispatch.py</w:t>
        <w:br/>
      </w:r>
      <w:r>
        <w:rPr>
          <w:rFonts w:ascii="Courier New" w:hAnsi="Courier New" w:eastAsia="Courier New"/>
          <w:sz w:val="16"/>
        </w:rPr>
        <w:t xml:space="preserve">      bess_lp_optimizer.py</w:t>
        <w:br/>
      </w:r>
      <w:r>
        <w:rPr>
          <w:rFonts w:ascii="Courier New" w:hAnsi="Courier New" w:eastAsia="Courier New"/>
          <w:sz w:val="16"/>
        </w:rPr>
        <w:t xml:space="preserve">      pv_bess_lp_optimizer.py</w:t>
        <w:br/>
      </w:r>
      <w:r>
        <w:rPr>
          <w:rFonts w:ascii="Courier New" w:hAnsi="Courier New" w:eastAsia="Courier New"/>
          <w:sz w:val="16"/>
        </w:rPr>
        <w:t xml:space="preserve">      no_export_controller.py</w:t>
        <w:br/>
      </w:r>
      <w:r>
        <w:rPr>
          <w:rFonts w:ascii="Courier New" w:hAnsi="Courier New" w:eastAsia="Courier New"/>
          <w:sz w:val="16"/>
        </w:rPr>
        <w:t xml:space="preserve">    finance/</w:t>
        <w:br/>
      </w:r>
      <w:r>
        <w:rPr>
          <w:rFonts w:ascii="Courier New" w:hAnsi="Courier New" w:eastAsia="Courier New"/>
          <w:sz w:val="16"/>
        </w:rPr>
        <w:t xml:space="preserve">      savings_attribution.py</w:t>
        <w:br/>
      </w:r>
      <w:r>
        <w:rPr>
          <w:rFonts w:ascii="Courier New" w:hAnsi="Courier New" w:eastAsia="Courier New"/>
          <w:sz w:val="16"/>
        </w:rPr>
        <w:t xml:space="preserve">      capex_opex.py</w:t>
        <w:br/>
      </w:r>
      <w:r>
        <w:rPr>
          <w:rFonts w:ascii="Courier New" w:hAnsi="Courier New" w:eastAsia="Courier New"/>
          <w:sz w:val="16"/>
        </w:rPr>
        <w:t xml:space="preserve">      irr_npv.py</w:t>
        <w:br/>
      </w:r>
      <w:r>
        <w:rPr>
          <w:rFonts w:ascii="Courier New" w:hAnsi="Courier New" w:eastAsia="Courier New"/>
          <w:sz w:val="16"/>
        </w:rPr>
        <w:t xml:space="preserve">      sensitivity.py</w:t>
        <w:br/>
      </w:r>
      <w:r>
        <w:rPr>
          <w:rFonts w:ascii="Courier New" w:hAnsi="Courier New" w:eastAsia="Courier New"/>
          <w:sz w:val="16"/>
        </w:rPr>
        <w:t xml:space="preserve">    reporting/</w:t>
        <w:br/>
      </w:r>
      <w:r>
        <w:rPr>
          <w:rFonts w:ascii="Courier New" w:hAnsi="Courier New" w:eastAsia="Courier New"/>
          <w:sz w:val="16"/>
        </w:rPr>
        <w:t xml:space="preserve">      excel_report.py</w:t>
        <w:br/>
      </w:r>
      <w:r>
        <w:rPr>
          <w:rFonts w:ascii="Courier New" w:hAnsi="Courier New" w:eastAsia="Courier New"/>
          <w:sz w:val="16"/>
        </w:rPr>
        <w:t xml:space="preserve">      pdf_summary.py</w:t>
        <w:br/>
      </w:r>
      <w:r>
        <w:rPr>
          <w:rFonts w:ascii="Courier New" w:hAnsi="Courier New" w:eastAsia="Courier New"/>
          <w:sz w:val="16"/>
        </w:rPr>
        <w:t xml:space="preserve">      dispatch_plots.py</w:t>
        <w:br/>
      </w:r>
      <w:r>
        <w:rPr>
          <w:rFonts w:ascii="Courier New" w:hAnsi="Courier New" w:eastAsia="Courier New"/>
          <w:sz w:val="16"/>
        </w:rPr>
        <w:t xml:space="preserve">      qa_report.py</w:t>
        <w:br/>
      </w:r>
      <w:r>
        <w:rPr>
          <w:rFonts w:ascii="Courier New" w:hAnsi="Courier New" w:eastAsia="Courier New"/>
          <w:sz w:val="16"/>
        </w:rPr>
        <w:t xml:space="preserve">    scrapers/</w:t>
        <w:br/>
      </w:r>
      <w:r>
        <w:rPr>
          <w:rFonts w:ascii="Courier New" w:hAnsi="Courier New" w:eastAsia="Courier New"/>
          <w:sz w:val="16"/>
        </w:rPr>
        <w:t xml:space="preserve">      cfe_tariff_scraper.py</w:t>
        <w:br/>
      </w:r>
      <w:r>
        <w:rPr>
          <w:rFonts w:ascii="Courier New" w:hAnsi="Courier New" w:eastAsia="Courier New"/>
          <w:sz w:val="16"/>
        </w:rPr>
        <w:t xml:space="preserve">      cfe_acuerdos_scraper.py</w:t>
        <w:br/>
      </w:r>
      <w:r>
        <w:rPr>
          <w:rFonts w:ascii="Courier New" w:hAnsi="Courier New" w:eastAsia="Courier New"/>
          <w:sz w:val="16"/>
        </w:rPr>
        <w:t xml:space="preserve">      cne_monthly_tfsb_scraper.py</w:t>
        <w:br/>
      </w:r>
      <w:r>
        <w:rPr>
          <w:rFonts w:ascii="Courier New" w:hAnsi="Courier New" w:eastAsia="Courier New"/>
          <w:sz w:val="16"/>
        </w:rPr>
        <w:t xml:space="preserve">      banxico_fx_scraper.py</w:t>
        <w:br/>
      </w:r>
      <w:r>
        <w:rPr>
          <w:rFonts w:ascii="Courier New" w:hAnsi="Courier New" w:eastAsia="Courier New"/>
          <w:sz w:val="16"/>
        </w:rPr>
        <w:t xml:space="preserve">      holiday_scraper.py</w:t>
        <w:br/>
      </w:r>
      <w:r>
        <w:rPr>
          <w:rFonts w:ascii="Courier New" w:hAnsi="Courier New" w:eastAsia="Courier New"/>
          <w:sz w:val="16"/>
        </w:rPr>
        <w:t xml:space="preserve">      cenace_nodosp_scraper.py</w:t>
        <w:br/>
      </w:r>
      <w:r>
        <w:rPr>
          <w:rFonts w:ascii="Courier New" w:hAnsi="Courier New" w:eastAsia="Courier New"/>
          <w:sz w:val="16"/>
        </w:rPr>
        <w:t xml:space="preserve">      cenace_pml_scraper.py</w:t>
        <w:br/>
      </w:r>
      <w:r>
        <w:rPr>
          <w:rFonts w:ascii="Courier New" w:hAnsi="Courier New" w:eastAsia="Courier New"/>
          <w:sz w:val="16"/>
        </w:rPr>
        <w:t xml:space="preserve">  outputs/</w:t>
        <w:br/>
      </w:r>
      <w:r>
        <w:rPr>
          <w:rFonts w:ascii="Courier New" w:hAnsi="Courier New" w:eastAsia="Courier New"/>
          <w:sz w:val="16"/>
        </w:rPr>
        <w:t xml:space="preserve">    baseline_bill_reconstruction.xlsx</w:t>
        <w:br/>
      </w:r>
      <w:r>
        <w:rPr>
          <w:rFonts w:ascii="Courier New" w:hAnsi="Courier New" w:eastAsia="Courier New"/>
          <w:sz w:val="16"/>
        </w:rPr>
        <w:t xml:space="preserve">    optimized_dispatch_15min.csv</w:t>
        <w:br/>
      </w:r>
      <w:r>
        <w:rPr>
          <w:rFonts w:ascii="Courier New" w:hAnsi="Courier New" w:eastAsia="Courier New"/>
          <w:sz w:val="16"/>
        </w:rPr>
        <w:t xml:space="preserve">    savings_report.xlsx</w:t>
        <w:br/>
      </w:r>
      <w:r>
        <w:rPr>
          <w:rFonts w:ascii="Courier New" w:hAnsi="Courier New" w:eastAsia="Courier New"/>
          <w:sz w:val="16"/>
        </w:rPr>
        <w:t xml:space="preserve">    financial_summary.xlsx</w:t>
        <w:br/>
      </w:r>
      <w:r>
        <w:rPr>
          <w:rFonts w:ascii="Courier New" w:hAnsi="Courier New" w:eastAsia="Courier New"/>
          <w:sz w:val="16"/>
        </w:rPr>
        <w:t xml:space="preserve">    executive_summary.pdf</w:t>
        <w:br/>
      </w:r>
      <w:r>
        <w:rPr>
          <w:rFonts w:ascii="Courier New" w:hAnsi="Courier New" w:eastAsia="Courier New"/>
          <w:sz w:val="16"/>
        </w:rPr>
        <w:t xml:space="preserve">  tests/</w:t>
        <w:br/>
      </w:r>
      <w:r>
        <w:rPr>
          <w:rFonts w:ascii="Courier New" w:hAnsi="Courier New" w:eastAsia="Courier New"/>
          <w:sz w:val="16"/>
        </w:rPr>
        <w:t xml:space="preserve">    test_tariff_calendar.py</w:t>
        <w:br/>
      </w:r>
      <w:r>
        <w:rPr>
          <w:rFonts w:ascii="Courier New" w:hAnsi="Courier New" w:eastAsia="Courier New"/>
          <w:sz w:val="16"/>
        </w:rPr>
        <w:t xml:space="preserve">    test_bill_reconstruction.py</w:t>
        <w:br/>
      </w:r>
      <w:r>
        <w:rPr>
          <w:rFonts w:ascii="Courier New" w:hAnsi="Courier New" w:eastAsia="Courier New"/>
          <w:sz w:val="16"/>
        </w:rPr>
        <w:t xml:space="preserve">    test_demand_charges.py</w:t>
        <w:br/>
      </w:r>
      <w:r>
        <w:rPr>
          <w:rFonts w:ascii="Courier New" w:hAnsi="Courier New" w:eastAsia="Courier New"/>
          <w:sz w:val="16"/>
        </w:rPr>
        <w:t xml:space="preserve">    test_bess_soc.py</w:t>
        <w:br/>
      </w:r>
      <w:r>
        <w:rPr>
          <w:rFonts w:ascii="Courier New" w:hAnsi="Courier New" w:eastAsia="Courier New"/>
          <w:sz w:val="16"/>
        </w:rPr>
        <w:t xml:space="preserve">    test_no_export.py</w:t>
        <w:br/>
      </w:r>
    </w:p>
    <w:p>
      <w:pPr>
        <w:pStyle w:val="Heading1"/>
      </w:pPr>
      <w:r>
        <w:t>7. Data Model and Required Input Schemas</w:t>
      </w:r>
    </w:p>
    <w:p>
      <w:pPr>
        <w:pStyle w:val="Heading2"/>
      </w:pPr>
      <w:r>
        <w:t>7.1 Customer configuration</w:t>
      </w:r>
    </w:p>
    <w:p>
      <w:pPr>
        <w:pStyle w:val="CodeBlock"/>
      </w:pPr>
      <w:r>
        <w:rPr>
          <w:rFonts w:ascii="Courier New" w:hAnsi="Courier New" w:eastAsia="Courier New"/>
          <w:sz w:val="16"/>
        </w:rPr>
        <w:t>customer_id: string</w:t>
        <w:br/>
      </w:r>
      <w:r>
        <w:rPr>
          <w:rFonts w:ascii="Courier New" w:hAnsi="Courier New" w:eastAsia="Courier New"/>
          <w:sz w:val="16"/>
        </w:rPr>
        <w:t>customer_name: string</w:t>
        <w:br/>
      </w:r>
      <w:r>
        <w:rPr>
          <w:rFonts w:ascii="Courier New" w:hAnsi="Courier New" w:eastAsia="Courier New"/>
          <w:sz w:val="16"/>
        </w:rPr>
        <w:t>country: Mexico</w:t>
        <w:br/>
      </w:r>
      <w:r>
        <w:rPr>
          <w:rFonts w:ascii="Courier New" w:hAnsi="Courier New" w:eastAsia="Courier New"/>
          <w:sz w:val="16"/>
        </w:rPr>
        <w:t>state: Ciudad de Mexico</w:t>
        <w:br/>
      </w:r>
      <w:r>
        <w:rPr>
          <w:rFonts w:ascii="Courier New" w:hAnsi="Courier New" w:eastAsia="Courier New"/>
          <w:sz w:val="16"/>
        </w:rPr>
        <w:t>municipality: Coyoacan</w:t>
        <w:br/>
      </w:r>
      <w:r>
        <w:rPr>
          <w:rFonts w:ascii="Courier New" w:hAnsi="Courier New" w:eastAsia="Courier New"/>
          <w:sz w:val="16"/>
        </w:rPr>
        <w:t>cfe_division: Valle de Mexico Sur</w:t>
        <w:br/>
      </w:r>
      <w:r>
        <w:rPr>
          <w:rFonts w:ascii="Courier New" w:hAnsi="Courier New" w:eastAsia="Courier New"/>
          <w:sz w:val="16"/>
        </w:rPr>
        <w:t>tariff: GDMTH</w:t>
        <w:br/>
      </w:r>
      <w:r>
        <w:rPr>
          <w:rFonts w:ascii="Courier New" w:hAnsi="Courier New" w:eastAsia="Courier New"/>
          <w:sz w:val="16"/>
        </w:rPr>
        <w:t>voltage_level: media_tension</w:t>
        <w:br/>
      </w:r>
      <w:r>
        <w:rPr>
          <w:rFonts w:ascii="Courier New" w:hAnsi="Courier New" w:eastAsia="Courier New"/>
          <w:sz w:val="16"/>
        </w:rPr>
        <w:t>contracted_demand_kw: float</w:t>
        <w:br/>
      </w:r>
      <w:r>
        <w:rPr>
          <w:rFonts w:ascii="Courier New" w:hAnsi="Courier New" w:eastAsia="Courier New"/>
          <w:sz w:val="16"/>
        </w:rPr>
        <w:t>connected_load_kw: float</w:t>
        <w:br/>
      </w:r>
      <w:r>
        <w:rPr>
          <w:rFonts w:ascii="Courier New" w:hAnsi="Courier New" w:eastAsia="Courier New"/>
          <w:sz w:val="16"/>
        </w:rPr>
        <w:t>largest_motor_kw: float</w:t>
        <w:br/>
      </w:r>
      <w:r>
        <w:rPr>
          <w:rFonts w:ascii="Courier New" w:hAnsi="Courier New" w:eastAsia="Courier New"/>
          <w:sz w:val="16"/>
        </w:rPr>
        <w:t>substation_kva: float</w:t>
        <w:br/>
      </w:r>
      <w:r>
        <w:rPr>
          <w:rFonts w:ascii="Courier New" w:hAnsi="Courier New" w:eastAsia="Courier New"/>
          <w:sz w:val="16"/>
        </w:rPr>
        <w:t>power_factor_target: 0.90</w:t>
        <w:br/>
      </w:r>
      <w:r>
        <w:rPr>
          <w:rFonts w:ascii="Courier New" w:hAnsi="Courier New" w:eastAsia="Courier New"/>
          <w:sz w:val="16"/>
        </w:rPr>
        <w:t>billing_day_start: integer | optional</w:t>
        <w:br/>
      </w:r>
      <w:r>
        <w:rPr>
          <w:rFonts w:ascii="Courier New" w:hAnsi="Courier New" w:eastAsia="Courier New"/>
          <w:sz w:val="16"/>
        </w:rPr>
        <w:t>billing_day_end: integer | optional</w:t>
        <w:br/>
      </w:r>
    </w:p>
    <w:p>
      <w:pPr>
        <w:pStyle w:val="Heading2"/>
      </w:pPr>
      <w:r>
        <w:t>7.2 Meter data schema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pPr>
              <w:spacing w:after="0"/>
            </w:pPr>
            <w:r/>
            <w:r>
              <w:rPr>
                <w:b/>
                <w:color w:val="FFFFFF"/>
              </w:rPr>
              <w:t>Column</w:t>
            </w:r>
          </w:p>
        </w:tc>
        <w:tc>
          <w:tcPr>
            <w:tcW w:type="dxa" w:w="2592"/>
            <w:vAlign w:val="top"/>
            <w:shd w:fill="1F4E79"/>
          </w:tcPr>
          <w:p>
            <w:pPr>
              <w:spacing w:after="0"/>
            </w:pPr>
            <w:r/>
            <w:r>
              <w:rPr>
                <w:b/>
                <w:color w:val="FFFFFF"/>
              </w:rPr>
              <w:t>Required</w:t>
            </w:r>
          </w:p>
        </w:tc>
        <w:tc>
          <w:tcPr>
            <w:tcW w:type="dxa" w:w="2592"/>
            <w:vAlign w:val="top"/>
            <w:shd w:fill="1F4E79"/>
          </w:tcPr>
          <w:p>
            <w:pPr>
              <w:spacing w:after="0"/>
            </w:pPr>
            <w:r/>
            <w:r>
              <w:rPr>
                <w:b/>
                <w:color w:val="FFFFFF"/>
              </w:rPr>
              <w:t>Type</w:t>
            </w:r>
          </w:p>
        </w:tc>
        <w:tc>
          <w:tcPr>
            <w:tcW w:type="dxa" w:w="2592"/>
            <w:vAlign w:val="top"/>
            <w:shd w:fill="1F4E79"/>
          </w:tcPr>
          <w:p>
            <w:pPr>
              <w:spacing w:after="0"/>
            </w:pPr>
            <w:r/>
            <w:r>
              <w:rPr>
                <w:b/>
                <w:color w:val="FFFFFF"/>
              </w:rPr>
              <w:t>Notes</w:t>
            </w:r>
          </w:p>
        </w:tc>
      </w:tr>
      <w:tr>
        <w:tc>
          <w:tcPr>
            <w:tcW w:type="dxa" w:w="2592"/>
            <w:vAlign w:val="top"/>
          </w:tcPr>
          <w:p>
            <w:pPr>
              <w:spacing w:after="0"/>
            </w:pPr>
            <w:r/>
            <w:r>
              <w:rPr>
                <w:b w:val="0"/>
              </w:rPr>
              <w:t>timestamp</w:t>
            </w:r>
          </w:p>
        </w:tc>
        <w:tc>
          <w:tcPr>
            <w:tcW w:type="dxa" w:w="2592"/>
            <w:vAlign w:val="top"/>
          </w:tcPr>
          <w:p>
            <w:pPr>
              <w:spacing w:after="0"/>
            </w:pPr>
            <w:r/>
            <w:r>
              <w:rPr>
                <w:b w:val="0"/>
              </w:rPr>
              <w:t>Yes</w:t>
            </w:r>
          </w:p>
        </w:tc>
        <w:tc>
          <w:tcPr>
            <w:tcW w:type="dxa" w:w="2592"/>
            <w:vAlign w:val="top"/>
          </w:tcPr>
          <w:p>
            <w:pPr>
              <w:spacing w:after="0"/>
            </w:pPr>
            <w:r/>
            <w:r>
              <w:rPr>
                <w:b w:val="0"/>
              </w:rPr>
              <w:t>datetime</w:t>
            </w:r>
          </w:p>
        </w:tc>
        <w:tc>
          <w:tcPr>
            <w:tcW w:type="dxa" w:w="2592"/>
            <w:vAlign w:val="top"/>
          </w:tcPr>
          <w:p>
            <w:pPr>
              <w:spacing w:after="0"/>
            </w:pPr>
            <w:r/>
            <w:r>
              <w:rPr>
                <w:b w:val="0"/>
              </w:rPr>
              <w:t>Local Mexico timezone; 15-minute intervals.</w:t>
            </w:r>
          </w:p>
        </w:tc>
      </w:tr>
      <w:tr>
        <w:tc>
          <w:tcPr>
            <w:tcW w:type="dxa" w:w="2592"/>
            <w:vAlign w:val="top"/>
          </w:tcPr>
          <w:p>
            <w:pPr>
              <w:spacing w:after="0"/>
            </w:pPr>
            <w:r/>
            <w:r>
              <w:rPr>
                <w:b w:val="0"/>
              </w:rPr>
              <w:t>load_kw</w:t>
            </w:r>
          </w:p>
        </w:tc>
        <w:tc>
          <w:tcPr>
            <w:tcW w:type="dxa" w:w="2592"/>
            <w:vAlign w:val="top"/>
          </w:tcPr>
          <w:p>
            <w:pPr>
              <w:spacing w:after="0"/>
            </w:pPr>
            <w:r/>
            <w:r>
              <w:rPr>
                <w:b w:val="0"/>
              </w:rPr>
              <w:t>Yes</w:t>
            </w:r>
          </w:p>
        </w:tc>
        <w:tc>
          <w:tcPr>
            <w:tcW w:type="dxa" w:w="2592"/>
            <w:vAlign w:val="top"/>
          </w:tcPr>
          <w:p>
            <w:pPr>
              <w:spacing w:after="0"/>
            </w:pPr>
            <w:r/>
            <w:r>
              <w:rPr>
                <w:b w:val="0"/>
              </w:rPr>
              <w:t>float</w:t>
            </w:r>
          </w:p>
        </w:tc>
        <w:tc>
          <w:tcPr>
            <w:tcW w:type="dxa" w:w="2592"/>
            <w:vAlign w:val="top"/>
          </w:tcPr>
          <w:p>
            <w:pPr>
              <w:spacing w:after="0"/>
            </w:pPr>
            <w:r/>
            <w:r>
              <w:rPr>
                <w:b w:val="0"/>
              </w:rPr>
              <w:t>Gross customer load before BESS dispatch.</w:t>
            </w:r>
          </w:p>
        </w:tc>
      </w:tr>
      <w:tr>
        <w:tc>
          <w:tcPr>
            <w:tcW w:type="dxa" w:w="2592"/>
            <w:vAlign w:val="top"/>
          </w:tcPr>
          <w:p>
            <w:pPr>
              <w:spacing w:after="0"/>
            </w:pPr>
            <w:r/>
            <w:r>
              <w:rPr>
                <w:b w:val="0"/>
              </w:rPr>
              <w:t>grid_import_kw</w:t>
            </w:r>
          </w:p>
        </w:tc>
        <w:tc>
          <w:tcPr>
            <w:tcW w:type="dxa" w:w="2592"/>
            <w:vAlign w:val="top"/>
          </w:tcPr>
          <w:p>
            <w:pPr>
              <w:spacing w:after="0"/>
            </w:pPr>
            <w:r/>
            <w:r>
              <w:rPr>
                <w:b w:val="0"/>
              </w:rPr>
              <w:t>Optional</w:t>
            </w:r>
          </w:p>
        </w:tc>
        <w:tc>
          <w:tcPr>
            <w:tcW w:type="dxa" w:w="2592"/>
            <w:vAlign w:val="top"/>
          </w:tcPr>
          <w:p>
            <w:pPr>
              <w:spacing w:after="0"/>
            </w:pPr>
            <w:r/>
            <w:r>
              <w:rPr>
                <w:b w:val="0"/>
              </w:rPr>
              <w:t>float</w:t>
            </w:r>
          </w:p>
        </w:tc>
        <w:tc>
          <w:tcPr>
            <w:tcW w:type="dxa" w:w="2592"/>
            <w:vAlign w:val="top"/>
          </w:tcPr>
          <w:p>
            <w:pPr>
              <w:spacing w:after="0"/>
            </w:pPr>
            <w:r/>
            <w:r>
              <w:rPr>
                <w:b w:val="0"/>
              </w:rPr>
              <w:t>If available from meter/EMS.</w:t>
            </w:r>
          </w:p>
        </w:tc>
      </w:tr>
      <w:tr>
        <w:tc>
          <w:tcPr>
            <w:tcW w:type="dxa" w:w="2592"/>
            <w:vAlign w:val="top"/>
          </w:tcPr>
          <w:p>
            <w:pPr>
              <w:spacing w:after="0"/>
            </w:pPr>
            <w:r/>
            <w:r>
              <w:rPr>
                <w:b w:val="0"/>
              </w:rPr>
              <w:t>grid_export_kw</w:t>
            </w:r>
          </w:p>
        </w:tc>
        <w:tc>
          <w:tcPr>
            <w:tcW w:type="dxa" w:w="2592"/>
            <w:vAlign w:val="top"/>
          </w:tcPr>
          <w:p>
            <w:pPr>
              <w:spacing w:after="0"/>
            </w:pPr>
            <w:r/>
            <w:r>
              <w:rPr>
                <w:b w:val="0"/>
              </w:rPr>
              <w:t>Optional</w:t>
            </w:r>
          </w:p>
        </w:tc>
        <w:tc>
          <w:tcPr>
            <w:tcW w:type="dxa" w:w="2592"/>
            <w:vAlign w:val="top"/>
          </w:tcPr>
          <w:p>
            <w:pPr>
              <w:spacing w:after="0"/>
            </w:pPr>
            <w:r/>
            <w:r>
              <w:rPr>
                <w:b w:val="0"/>
              </w:rPr>
              <w:t>float</w:t>
            </w:r>
          </w:p>
        </w:tc>
        <w:tc>
          <w:tcPr>
            <w:tcW w:type="dxa" w:w="2592"/>
            <w:vAlign w:val="top"/>
          </w:tcPr>
          <w:p>
            <w:pPr>
              <w:spacing w:after="0"/>
            </w:pPr>
            <w:r/>
            <w:r>
              <w:rPr>
                <w:b w:val="0"/>
              </w:rPr>
              <w:t>Used to validate no-export compliance.</w:t>
            </w:r>
          </w:p>
        </w:tc>
      </w:tr>
      <w:tr>
        <w:tc>
          <w:tcPr>
            <w:tcW w:type="dxa" w:w="2592"/>
            <w:vAlign w:val="top"/>
          </w:tcPr>
          <w:p>
            <w:pPr>
              <w:spacing w:after="0"/>
            </w:pPr>
            <w:r/>
            <w:r>
              <w:rPr>
                <w:b w:val="0"/>
              </w:rPr>
              <w:t>power_factor</w:t>
            </w:r>
          </w:p>
        </w:tc>
        <w:tc>
          <w:tcPr>
            <w:tcW w:type="dxa" w:w="2592"/>
            <w:vAlign w:val="top"/>
          </w:tcPr>
          <w:p>
            <w:pPr>
              <w:spacing w:after="0"/>
            </w:pPr>
            <w:r/>
            <w:r>
              <w:rPr>
                <w:b w:val="0"/>
              </w:rPr>
              <w:t>Optional</w:t>
            </w:r>
          </w:p>
        </w:tc>
        <w:tc>
          <w:tcPr>
            <w:tcW w:type="dxa" w:w="2592"/>
            <w:vAlign w:val="top"/>
          </w:tcPr>
          <w:p>
            <w:pPr>
              <w:spacing w:after="0"/>
            </w:pPr>
            <w:r/>
            <w:r>
              <w:rPr>
                <w:b w:val="0"/>
              </w:rPr>
              <w:t>float</w:t>
            </w:r>
          </w:p>
        </w:tc>
        <w:tc>
          <w:tcPr>
            <w:tcW w:type="dxa" w:w="2592"/>
            <w:vAlign w:val="top"/>
          </w:tcPr>
          <w:p>
            <w:pPr>
              <w:spacing w:after="0"/>
            </w:pPr>
            <w:r/>
            <w:r>
              <w:rPr>
                <w:b w:val="0"/>
              </w:rPr>
              <w:t>Used for power-factor adjustment module.</w:t>
            </w:r>
          </w:p>
        </w:tc>
      </w:tr>
    </w:tbl>
    <w:p/>
    <w:p>
      <w:pPr>
        <w:pStyle w:val="Heading2"/>
      </w:pPr>
      <w:r>
        <w:t>7.3 PV profile schema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pPr>
              <w:spacing w:after="0"/>
            </w:pPr>
            <w:r/>
            <w:r>
              <w:rPr>
                <w:b/>
                <w:color w:val="FFFFFF"/>
              </w:rPr>
              <w:t>Column</w:t>
            </w:r>
          </w:p>
        </w:tc>
        <w:tc>
          <w:tcPr>
            <w:tcW w:type="dxa" w:w="2592"/>
            <w:vAlign w:val="top"/>
            <w:shd w:fill="1F4E79"/>
          </w:tcPr>
          <w:p>
            <w:pPr>
              <w:spacing w:after="0"/>
            </w:pPr>
            <w:r/>
            <w:r>
              <w:rPr>
                <w:b/>
                <w:color w:val="FFFFFF"/>
              </w:rPr>
              <w:t>Required</w:t>
            </w:r>
          </w:p>
        </w:tc>
        <w:tc>
          <w:tcPr>
            <w:tcW w:type="dxa" w:w="2592"/>
            <w:vAlign w:val="top"/>
            <w:shd w:fill="1F4E79"/>
          </w:tcPr>
          <w:p>
            <w:pPr>
              <w:spacing w:after="0"/>
            </w:pPr>
            <w:r/>
            <w:r>
              <w:rPr>
                <w:b/>
                <w:color w:val="FFFFFF"/>
              </w:rPr>
              <w:t>Type</w:t>
            </w:r>
          </w:p>
        </w:tc>
        <w:tc>
          <w:tcPr>
            <w:tcW w:type="dxa" w:w="2592"/>
            <w:vAlign w:val="top"/>
            <w:shd w:fill="1F4E79"/>
          </w:tcPr>
          <w:p>
            <w:pPr>
              <w:spacing w:after="0"/>
            </w:pPr>
            <w:r/>
            <w:r>
              <w:rPr>
                <w:b/>
                <w:color w:val="FFFFFF"/>
              </w:rPr>
              <w:t>Notes</w:t>
            </w:r>
          </w:p>
        </w:tc>
      </w:tr>
      <w:tr>
        <w:tc>
          <w:tcPr>
            <w:tcW w:type="dxa" w:w="2592"/>
            <w:vAlign w:val="top"/>
          </w:tcPr>
          <w:p>
            <w:pPr>
              <w:spacing w:after="0"/>
            </w:pPr>
            <w:r/>
            <w:r>
              <w:rPr>
                <w:b w:val="0"/>
              </w:rPr>
              <w:t>timestamp</w:t>
            </w:r>
          </w:p>
        </w:tc>
        <w:tc>
          <w:tcPr>
            <w:tcW w:type="dxa" w:w="2592"/>
            <w:vAlign w:val="top"/>
          </w:tcPr>
          <w:p>
            <w:pPr>
              <w:spacing w:after="0"/>
            </w:pPr>
            <w:r/>
            <w:r>
              <w:rPr>
                <w:b w:val="0"/>
              </w:rPr>
              <w:t>Yes</w:t>
            </w:r>
          </w:p>
        </w:tc>
        <w:tc>
          <w:tcPr>
            <w:tcW w:type="dxa" w:w="2592"/>
            <w:vAlign w:val="top"/>
          </w:tcPr>
          <w:p>
            <w:pPr>
              <w:spacing w:after="0"/>
            </w:pPr>
            <w:r/>
            <w:r>
              <w:rPr>
                <w:b w:val="0"/>
              </w:rPr>
              <w:t>datetime</w:t>
            </w:r>
          </w:p>
        </w:tc>
        <w:tc>
          <w:tcPr>
            <w:tcW w:type="dxa" w:w="2592"/>
            <w:vAlign w:val="top"/>
          </w:tcPr>
          <w:p>
            <w:pPr>
              <w:spacing w:after="0"/>
            </w:pPr>
            <w:r/>
            <w:r>
              <w:rPr>
                <w:b w:val="0"/>
              </w:rPr>
              <w:t>15-minute preferred; hourly accepted and resampled.</w:t>
            </w:r>
          </w:p>
        </w:tc>
      </w:tr>
      <w:tr>
        <w:tc>
          <w:tcPr>
            <w:tcW w:type="dxa" w:w="2592"/>
            <w:vAlign w:val="top"/>
          </w:tcPr>
          <w:p>
            <w:pPr>
              <w:spacing w:after="0"/>
            </w:pPr>
            <w:r/>
            <w:r>
              <w:rPr>
                <w:b w:val="0"/>
              </w:rPr>
              <w:t>pv_kw</w:t>
            </w:r>
          </w:p>
        </w:tc>
        <w:tc>
          <w:tcPr>
            <w:tcW w:type="dxa" w:w="2592"/>
            <w:vAlign w:val="top"/>
          </w:tcPr>
          <w:p>
            <w:pPr>
              <w:spacing w:after="0"/>
            </w:pPr>
            <w:r/>
            <w:r>
              <w:rPr>
                <w:b w:val="0"/>
              </w:rPr>
              <w:t>Yes</w:t>
            </w:r>
          </w:p>
        </w:tc>
        <w:tc>
          <w:tcPr>
            <w:tcW w:type="dxa" w:w="2592"/>
            <w:vAlign w:val="top"/>
          </w:tcPr>
          <w:p>
            <w:pPr>
              <w:spacing w:after="0"/>
            </w:pPr>
            <w:r/>
            <w:r>
              <w:rPr>
                <w:b w:val="0"/>
              </w:rPr>
              <w:t>float</w:t>
            </w:r>
          </w:p>
        </w:tc>
        <w:tc>
          <w:tcPr>
            <w:tcW w:type="dxa" w:w="2592"/>
            <w:vAlign w:val="top"/>
          </w:tcPr>
          <w:p>
            <w:pPr>
              <w:spacing w:after="0"/>
            </w:pPr>
            <w:r/>
            <w:r>
              <w:rPr>
                <w:b w:val="0"/>
              </w:rPr>
              <w:t>AC generation profile.</w:t>
            </w:r>
          </w:p>
        </w:tc>
      </w:tr>
      <w:tr>
        <w:tc>
          <w:tcPr>
            <w:tcW w:type="dxa" w:w="2592"/>
            <w:vAlign w:val="top"/>
          </w:tcPr>
          <w:p>
            <w:pPr>
              <w:spacing w:after="0"/>
            </w:pPr>
            <w:r/>
            <w:r>
              <w:rPr>
                <w:b w:val="0"/>
              </w:rPr>
              <w:t>source</w:t>
            </w:r>
          </w:p>
        </w:tc>
        <w:tc>
          <w:tcPr>
            <w:tcW w:type="dxa" w:w="2592"/>
            <w:vAlign w:val="top"/>
          </w:tcPr>
          <w:p>
            <w:pPr>
              <w:spacing w:after="0"/>
            </w:pPr>
            <w:r/>
            <w:r>
              <w:rPr>
                <w:b w:val="0"/>
              </w:rPr>
              <w:t>Optional</w:t>
            </w:r>
          </w:p>
        </w:tc>
        <w:tc>
          <w:tcPr>
            <w:tcW w:type="dxa" w:w="2592"/>
            <w:vAlign w:val="top"/>
          </w:tcPr>
          <w:p>
            <w:pPr>
              <w:spacing w:after="0"/>
            </w:pPr>
            <w:r/>
            <w:r>
              <w:rPr>
                <w:b w:val="0"/>
              </w:rPr>
              <w:t>string</w:t>
            </w:r>
          </w:p>
        </w:tc>
        <w:tc>
          <w:tcPr>
            <w:tcW w:type="dxa" w:w="2592"/>
            <w:vAlign w:val="top"/>
          </w:tcPr>
          <w:p>
            <w:pPr>
              <w:spacing w:after="0"/>
            </w:pPr>
            <w:r/>
            <w:r>
              <w:rPr>
                <w:b w:val="0"/>
              </w:rPr>
              <w:t>PVsyst, Solargis, inverter, SCADA.</w:t>
            </w:r>
          </w:p>
        </w:tc>
      </w:tr>
    </w:tbl>
    <w:p/>
    <w:p>
      <w:pPr>
        <w:pStyle w:val="Heading2"/>
      </w:pPr>
      <w:r>
        <w:t>7.4 Tariff rates schema</w:t>
      </w:r>
    </w:p>
    <w:p>
      <w:pPr>
        <w:pStyle w:val="CodeBlock"/>
      </w:pPr>
      <w:r>
        <w:rPr>
          <w:rFonts w:ascii="Courier New" w:hAnsi="Courier New" w:eastAsia="Courier New"/>
          <w:sz w:val="16"/>
        </w:rPr>
        <w:t>year,month,division,tariff,charge_component,period,unit,value_mxn,source_url,source_file</w:t>
        <w:br/>
      </w:r>
      <w:r>
        <w:rPr>
          <w:rFonts w:ascii="Courier New" w:hAnsi="Courier New" w:eastAsia="Courier New"/>
          <w:sz w:val="16"/>
        </w:rPr>
        <w:t>2026,1,Valle de Mexico Sur,GDMTH,fixed,-,$/mes,422.07,cfe,manual</w:t>
        <w:br/>
      </w:r>
      <w:r>
        <w:rPr>
          <w:rFonts w:ascii="Courier New" w:hAnsi="Courier New" w:eastAsia="Courier New"/>
          <w:sz w:val="16"/>
        </w:rPr>
        <w:t>2026,1,Valle de Mexico Sur,GDMTH,energy,base,$/kWh,1.1170,cfe,manual</w:t>
        <w:br/>
      </w:r>
      <w:r>
        <w:rPr>
          <w:rFonts w:ascii="Courier New" w:hAnsi="Courier New" w:eastAsia="Courier New"/>
          <w:sz w:val="16"/>
        </w:rPr>
        <w:t>2026,1,Valle de Mexico Sur,GDMTH,energy,intermedia,$/kWh,1.8419,cfe,manual</w:t>
        <w:br/>
      </w:r>
      <w:r>
        <w:rPr>
          <w:rFonts w:ascii="Courier New" w:hAnsi="Courier New" w:eastAsia="Courier New"/>
          <w:sz w:val="16"/>
        </w:rPr>
        <w:t>2026,1,Valle de Mexico Sur,GDMTH,energy,punta,$/kWh,2.1538,cfe,manual</w:t>
        <w:br/>
      </w:r>
      <w:r>
        <w:rPr>
          <w:rFonts w:ascii="Courier New" w:hAnsi="Courier New" w:eastAsia="Courier New"/>
          <w:sz w:val="16"/>
        </w:rPr>
        <w:t>2026,1,Valle de Mexico Sur,GDMTH,distribution,-,$/kW,67.68,cfe,manual</w:t>
        <w:br/>
      </w:r>
      <w:r>
        <w:rPr>
          <w:rFonts w:ascii="Courier New" w:hAnsi="Courier New" w:eastAsia="Courier New"/>
          <w:sz w:val="16"/>
        </w:rPr>
        <w:t>2026,1,Valle de Mexico Sur,GDMTH,capacity,-,$/kW,401.78,cfe,manual</w:t>
        <w:br/>
      </w:r>
    </w:p>
    <w:p>
      <w:pPr>
        <w:pStyle w:val="Heading1"/>
      </w:pPr>
      <w:r>
        <w:t>8. Tariff Engine</w:t>
      </w:r>
    </w:p>
    <w:p>
      <w:pPr>
        <w:pStyle w:val="Heading2"/>
      </w:pPr>
      <w:r>
        <w:t>8.1 Supported tariffs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1F4E79"/>
          </w:tcPr>
          <w:p>
            <w:pPr>
              <w:spacing w:after="0"/>
            </w:pPr>
            <w:r/>
            <w:r>
              <w:rPr>
                <w:b/>
                <w:color w:val="FFFFFF"/>
              </w:rPr>
              <w:t>Tariff</w:t>
            </w:r>
          </w:p>
        </w:tc>
        <w:tc>
          <w:tcPr>
            <w:tcW w:type="dxa" w:w="2074"/>
            <w:vAlign w:val="top"/>
            <w:shd w:fill="1F4E79"/>
          </w:tcPr>
          <w:p>
            <w:pPr>
              <w:spacing w:after="0"/>
            </w:pPr>
            <w:r/>
            <w:r>
              <w:rPr>
                <w:b/>
                <w:color w:val="FFFFFF"/>
              </w:rPr>
              <w:t>Voltage / profile</w:t>
            </w:r>
          </w:p>
        </w:tc>
        <w:tc>
          <w:tcPr>
            <w:tcW w:type="dxa" w:w="2074"/>
            <w:vAlign w:val="top"/>
            <w:shd w:fill="1F4E79"/>
          </w:tcPr>
          <w:p>
            <w:pPr>
              <w:spacing w:after="0"/>
            </w:pPr>
            <w:r/>
            <w:r>
              <w:rPr>
                <w:b/>
                <w:color w:val="FFFFFF"/>
              </w:rPr>
              <w:t>Energy pricing</w:t>
            </w:r>
          </w:p>
        </w:tc>
        <w:tc>
          <w:tcPr>
            <w:tcW w:type="dxa" w:w="2074"/>
            <w:vAlign w:val="top"/>
            <w:shd w:fill="1F4E79"/>
          </w:tcPr>
          <w:p>
            <w:pPr>
              <w:spacing w:after="0"/>
            </w:pPr>
            <w:r/>
            <w:r>
              <w:rPr>
                <w:b/>
                <w:color w:val="FFFFFF"/>
              </w:rPr>
              <w:t>Demand pricing</w:t>
            </w:r>
          </w:p>
        </w:tc>
        <w:tc>
          <w:tcPr>
            <w:tcW w:type="dxa" w:w="2074"/>
            <w:vAlign w:val="top"/>
            <w:shd w:fill="1F4E79"/>
          </w:tcPr>
          <w:p>
            <w:pPr>
              <w:spacing w:after="0"/>
            </w:pPr>
            <w:r/>
            <w:r>
              <w:rPr>
                <w:b/>
                <w:color w:val="FFFFFF"/>
              </w:rPr>
              <w:t>MVP role</w:t>
            </w:r>
          </w:p>
        </w:tc>
      </w:tr>
      <w:tr>
        <w:tc>
          <w:tcPr>
            <w:tcW w:type="dxa" w:w="2074"/>
            <w:vAlign w:val="top"/>
          </w:tcPr>
          <w:p>
            <w:pPr>
              <w:spacing w:after="0"/>
            </w:pPr>
            <w:r/>
            <w:r>
              <w:rPr>
                <w:b w:val="0"/>
              </w:rPr>
              <w:t>GDMTO</w:t>
            </w:r>
          </w:p>
        </w:tc>
        <w:tc>
          <w:tcPr>
            <w:tcW w:type="dxa" w:w="2074"/>
            <w:vAlign w:val="top"/>
          </w:tcPr>
          <w:p>
            <w:pPr>
              <w:spacing w:after="0"/>
            </w:pPr>
            <w:r/>
            <w:r>
              <w:rPr>
                <w:b w:val="0"/>
              </w:rPr>
              <w:t>Media tension, &lt;100 kW</w:t>
            </w:r>
          </w:p>
        </w:tc>
        <w:tc>
          <w:tcPr>
            <w:tcW w:type="dxa" w:w="2074"/>
            <w:vAlign w:val="top"/>
          </w:tcPr>
          <w:p>
            <w:pPr>
              <w:spacing w:after="0"/>
            </w:pPr>
            <w:r/>
            <w:r>
              <w:rPr>
                <w:b w:val="0"/>
              </w:rPr>
              <w:t>Ordinary single energy price</w:t>
            </w:r>
          </w:p>
        </w:tc>
        <w:tc>
          <w:tcPr>
            <w:tcW w:type="dxa" w:w="2074"/>
            <w:vAlign w:val="top"/>
          </w:tcPr>
          <w:p>
            <w:pPr>
              <w:spacing w:after="0"/>
            </w:pPr>
            <w:r/>
            <w:r>
              <w:rPr>
                <w:b w:val="0"/>
              </w:rPr>
              <w:t>Capacity + distribution demand</w:t>
            </w:r>
          </w:p>
        </w:tc>
        <w:tc>
          <w:tcPr>
            <w:tcW w:type="dxa" w:w="2074"/>
            <w:vAlign w:val="top"/>
          </w:tcPr>
          <w:p>
            <w:pPr>
              <w:spacing w:after="0"/>
            </w:pPr>
            <w:r/>
            <w:r>
              <w:rPr>
                <w:b w:val="0"/>
              </w:rPr>
              <w:t>Comparison and migration risk.</w:t>
            </w:r>
          </w:p>
        </w:tc>
      </w:tr>
      <w:tr>
        <w:tc>
          <w:tcPr>
            <w:tcW w:type="dxa" w:w="2074"/>
            <w:vAlign w:val="top"/>
          </w:tcPr>
          <w:p>
            <w:pPr>
              <w:spacing w:after="0"/>
            </w:pPr>
            <w:r/>
            <w:r>
              <w:rPr>
                <w:b w:val="0"/>
              </w:rPr>
              <w:t>GDMTH</w:t>
            </w:r>
          </w:p>
        </w:tc>
        <w:tc>
          <w:tcPr>
            <w:tcW w:type="dxa" w:w="2074"/>
            <w:vAlign w:val="top"/>
          </w:tcPr>
          <w:p>
            <w:pPr>
              <w:spacing w:after="0"/>
            </w:pPr>
            <w:r/>
            <w:r>
              <w:rPr>
                <w:b w:val="0"/>
              </w:rPr>
              <w:t>Media tension, &gt;=100 kW</w:t>
            </w:r>
          </w:p>
        </w:tc>
        <w:tc>
          <w:tcPr>
            <w:tcW w:type="dxa" w:w="2074"/>
            <w:vAlign w:val="top"/>
          </w:tcPr>
          <w:p>
            <w:pPr>
              <w:spacing w:after="0"/>
            </w:pPr>
            <w:r/>
            <w:r>
              <w:rPr>
                <w:b w:val="0"/>
              </w:rPr>
              <w:t>Base/intermedia/punta</w:t>
            </w:r>
          </w:p>
        </w:tc>
        <w:tc>
          <w:tcPr>
            <w:tcW w:type="dxa" w:w="2074"/>
            <w:vAlign w:val="top"/>
          </w:tcPr>
          <w:p>
            <w:pPr>
              <w:spacing w:after="0"/>
            </w:pPr>
            <w:r/>
            <w:r>
              <w:rPr>
                <w:b w:val="0"/>
              </w:rPr>
              <w:t>Capacity + distribution demand</w:t>
            </w:r>
          </w:p>
        </w:tc>
        <w:tc>
          <w:tcPr>
            <w:tcW w:type="dxa" w:w="2074"/>
            <w:vAlign w:val="top"/>
          </w:tcPr>
          <w:p>
            <w:pPr>
              <w:spacing w:after="0"/>
            </w:pPr>
            <w:r/>
            <w:r>
              <w:rPr>
                <w:b w:val="0"/>
              </w:rPr>
              <w:t>Primary MVP tariff.</w:t>
            </w:r>
          </w:p>
        </w:tc>
      </w:tr>
      <w:tr>
        <w:tc>
          <w:tcPr>
            <w:tcW w:type="dxa" w:w="2074"/>
            <w:vAlign w:val="top"/>
          </w:tcPr>
          <w:p>
            <w:pPr>
              <w:spacing w:after="0"/>
            </w:pPr>
            <w:r/>
            <w:r>
              <w:rPr>
                <w:b w:val="0"/>
              </w:rPr>
              <w:t>DIST</w:t>
            </w:r>
          </w:p>
        </w:tc>
        <w:tc>
          <w:tcPr>
            <w:tcW w:type="dxa" w:w="2074"/>
            <w:vAlign w:val="top"/>
          </w:tcPr>
          <w:p>
            <w:pPr>
              <w:spacing w:after="0"/>
            </w:pPr>
            <w:r/>
            <w:r>
              <w:rPr>
                <w:b w:val="0"/>
              </w:rPr>
              <w:t>High voltage, subtransmission</w:t>
            </w:r>
          </w:p>
        </w:tc>
        <w:tc>
          <w:tcPr>
            <w:tcW w:type="dxa" w:w="2074"/>
            <w:vAlign w:val="top"/>
          </w:tcPr>
          <w:p>
            <w:pPr>
              <w:spacing w:after="0"/>
            </w:pPr>
            <w:r/>
            <w:r>
              <w:rPr>
                <w:b w:val="0"/>
              </w:rPr>
              <w:t>Base/intermedia/punta/semipunta where applicable</w:t>
            </w:r>
          </w:p>
        </w:tc>
        <w:tc>
          <w:tcPr>
            <w:tcW w:type="dxa" w:w="2074"/>
            <w:vAlign w:val="top"/>
          </w:tcPr>
          <w:p>
            <w:pPr>
              <w:spacing w:after="0"/>
            </w:pPr>
            <w:r/>
            <w:r>
              <w:rPr>
                <w:b w:val="0"/>
              </w:rPr>
              <w:t>Capacity; no separate distribution charge in copied tables</w:t>
            </w:r>
          </w:p>
        </w:tc>
        <w:tc>
          <w:tcPr>
            <w:tcW w:type="dxa" w:w="2074"/>
            <w:vAlign w:val="top"/>
          </w:tcPr>
          <w:p>
            <w:pPr>
              <w:spacing w:after="0"/>
            </w:pPr>
            <w:r/>
            <w:r>
              <w:rPr>
                <w:b w:val="0"/>
              </w:rPr>
              <w:t>Large-customer extension.</w:t>
            </w:r>
          </w:p>
        </w:tc>
      </w:tr>
      <w:tr>
        <w:tc>
          <w:tcPr>
            <w:tcW w:type="dxa" w:w="2074"/>
            <w:vAlign w:val="top"/>
          </w:tcPr>
          <w:p>
            <w:pPr>
              <w:spacing w:after="0"/>
            </w:pPr>
            <w:r/>
            <w:r>
              <w:rPr>
                <w:b w:val="0"/>
              </w:rPr>
              <w:t>DIT</w:t>
            </w:r>
          </w:p>
        </w:tc>
        <w:tc>
          <w:tcPr>
            <w:tcW w:type="dxa" w:w="2074"/>
            <w:vAlign w:val="top"/>
          </w:tcPr>
          <w:p>
            <w:pPr>
              <w:spacing w:after="0"/>
            </w:pPr>
            <w:r/>
            <w:r>
              <w:rPr>
                <w:b w:val="0"/>
              </w:rPr>
              <w:t>High voltage, transmission</w:t>
            </w:r>
          </w:p>
        </w:tc>
        <w:tc>
          <w:tcPr>
            <w:tcW w:type="dxa" w:w="2074"/>
            <w:vAlign w:val="top"/>
          </w:tcPr>
          <w:p>
            <w:pPr>
              <w:spacing w:after="0"/>
            </w:pPr>
            <w:r/>
            <w:r>
              <w:rPr>
                <w:b w:val="0"/>
              </w:rPr>
              <w:t>Base/intermedia/punta/semipunta where applicable</w:t>
            </w:r>
          </w:p>
        </w:tc>
        <w:tc>
          <w:tcPr>
            <w:tcW w:type="dxa" w:w="2074"/>
            <w:vAlign w:val="top"/>
          </w:tcPr>
          <w:p>
            <w:pPr>
              <w:spacing w:after="0"/>
            </w:pPr>
            <w:r/>
            <w:r>
              <w:rPr>
                <w:b w:val="0"/>
              </w:rPr>
              <w:t>Capacity; no separate distribution charge in copied tables</w:t>
            </w:r>
          </w:p>
        </w:tc>
        <w:tc>
          <w:tcPr>
            <w:tcW w:type="dxa" w:w="2074"/>
            <w:vAlign w:val="top"/>
          </w:tcPr>
          <w:p>
            <w:pPr>
              <w:spacing w:after="0"/>
            </w:pPr>
            <w:r/>
            <w:r>
              <w:rPr>
                <w:b w:val="0"/>
              </w:rPr>
              <w:t>Large-customer extension.</w:t>
            </w:r>
          </w:p>
        </w:tc>
      </w:tr>
    </w:tbl>
    <w:p/>
    <w:p>
      <w:pPr>
        <w:pStyle w:val="Heading2"/>
      </w:pPr>
      <w:r>
        <w:t>8.2 Factor de carga table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b/>
                <w:color w:val="FFFFFF"/>
              </w:rPr>
              <w:t>Tariff</w:t>
            </w:r>
          </w:p>
        </w:tc>
        <w:tc>
          <w:tcPr>
            <w:tcW w:type="dxa" w:w="5184"/>
            <w:vAlign w:val="top"/>
            <w:shd w:fill="1F4E79"/>
          </w:tcPr>
          <w:p>
            <w:pPr>
              <w:spacing w:after="0"/>
            </w:pPr>
            <w:r/>
            <w:r>
              <w:rPr>
                <w:b/>
                <w:color w:val="FFFFFF"/>
              </w:rPr>
              <w:t>Factor de carga</w:t>
            </w:r>
          </w:p>
        </w:tc>
      </w:tr>
      <w:tr>
        <w:tc>
          <w:tcPr>
            <w:tcW w:type="dxa" w:w="5184"/>
            <w:vAlign w:val="top"/>
          </w:tcPr>
          <w:p>
            <w:pPr>
              <w:spacing w:after="0"/>
            </w:pPr>
            <w:r/>
            <w:r>
              <w:rPr>
                <w:b w:val="0"/>
              </w:rPr>
              <w:t>GDMTO</w:t>
            </w:r>
          </w:p>
        </w:tc>
        <w:tc>
          <w:tcPr>
            <w:tcW w:type="dxa" w:w="5184"/>
            <w:vAlign w:val="top"/>
          </w:tcPr>
          <w:p>
            <w:pPr>
              <w:spacing w:after="0"/>
            </w:pPr>
            <w:r/>
            <w:r>
              <w:rPr>
                <w:b w:val="0"/>
              </w:rPr>
              <w:t>0.55</w:t>
            </w:r>
          </w:p>
        </w:tc>
      </w:tr>
      <w:tr>
        <w:tc>
          <w:tcPr>
            <w:tcW w:type="dxa" w:w="5184"/>
            <w:vAlign w:val="top"/>
          </w:tcPr>
          <w:p>
            <w:pPr>
              <w:spacing w:after="0"/>
            </w:pPr>
            <w:r/>
            <w:r>
              <w:rPr>
                <w:b w:val="0"/>
              </w:rPr>
              <w:t>GDMTH</w:t>
            </w:r>
          </w:p>
        </w:tc>
        <w:tc>
          <w:tcPr>
            <w:tcW w:type="dxa" w:w="5184"/>
            <w:vAlign w:val="top"/>
          </w:tcPr>
          <w:p>
            <w:pPr>
              <w:spacing w:after="0"/>
            </w:pPr>
            <w:r/>
            <w:r>
              <w:rPr>
                <w:b w:val="0"/>
              </w:rPr>
              <w:t>0.57</w:t>
            </w:r>
          </w:p>
        </w:tc>
      </w:tr>
      <w:tr>
        <w:tc>
          <w:tcPr>
            <w:tcW w:type="dxa" w:w="5184"/>
            <w:vAlign w:val="top"/>
          </w:tcPr>
          <w:p>
            <w:pPr>
              <w:spacing w:after="0"/>
            </w:pPr>
            <w:r/>
            <w:r>
              <w:rPr>
                <w:b w:val="0"/>
              </w:rPr>
              <w:t>DIST</w:t>
            </w:r>
          </w:p>
        </w:tc>
        <w:tc>
          <w:tcPr>
            <w:tcW w:type="dxa" w:w="5184"/>
            <w:vAlign w:val="top"/>
          </w:tcPr>
          <w:p>
            <w:pPr>
              <w:spacing w:after="0"/>
            </w:pPr>
            <w:r/>
            <w:r>
              <w:rPr>
                <w:b w:val="0"/>
              </w:rPr>
              <w:t>0.74</w:t>
            </w:r>
          </w:p>
        </w:tc>
      </w:tr>
      <w:tr>
        <w:tc>
          <w:tcPr>
            <w:tcW w:type="dxa" w:w="5184"/>
            <w:vAlign w:val="top"/>
          </w:tcPr>
          <w:p>
            <w:pPr>
              <w:spacing w:after="0"/>
            </w:pPr>
            <w:r/>
            <w:r>
              <w:rPr>
                <w:b w:val="0"/>
              </w:rPr>
              <w:t>DIT</w:t>
            </w:r>
          </w:p>
        </w:tc>
        <w:tc>
          <w:tcPr>
            <w:tcW w:type="dxa" w:w="5184"/>
            <w:vAlign w:val="top"/>
          </w:tcPr>
          <w:p>
            <w:pPr>
              <w:spacing w:after="0"/>
            </w:pPr>
            <w:r/>
            <w:r>
              <w:rPr>
                <w:b w:val="0"/>
              </w:rPr>
              <w:t>0.71</w:t>
            </w:r>
          </w:p>
        </w:tc>
      </w:tr>
    </w:tbl>
    <w:p/>
    <w:p>
      <w:pPr>
        <w:pStyle w:val="Heading2"/>
      </w:pPr>
      <w:r>
        <w:t>8.3 Tariff calendar logic</w:t>
      </w:r>
    </w:p>
    <w:p>
      <w:r>
        <w:t>Build a complete 15-minute calendar and label every timestamp with season, day_type and period. For Valle de Mexico Sur use SIN period rules. GDMTH has summer/winter seasons; DIST and DIT have spring/summer/autumn/winter seasons in SIN. Holidays must be treated as Sunday/holiday periods according to CFE/CNE text.</w:t>
      </w:r>
    </w:p>
    <w:p>
      <w:pPr>
        <w:pStyle w:val="CodeBlock"/>
      </w:pPr>
      <w:r>
        <w:rPr>
          <w:rFonts w:ascii="Courier New" w:hAnsi="Courier New" w:eastAsia="Courier New"/>
          <w:sz w:val="16"/>
        </w:rPr>
        <w:t>def build_tariff_calendar(start, end, tariff, division, holidays):</w:t>
        <w:br/>
      </w:r>
      <w:r>
        <w:rPr>
          <w:rFonts w:ascii="Courier New" w:hAnsi="Courier New" w:eastAsia="Courier New"/>
          <w:sz w:val="16"/>
        </w:rPr>
        <w:t xml:space="preserve">    system = map_division_to_system(division)  # BC, BCS, or SIN</w:t>
        <w:br/>
      </w:r>
      <w:r>
        <w:rPr>
          <w:rFonts w:ascii="Courier New" w:hAnsi="Courier New" w:eastAsia="Courier New"/>
          <w:sz w:val="16"/>
        </w:rPr>
        <w:t xml:space="preserve">    rows = []</w:t>
        <w:br/>
      </w:r>
      <w:r>
        <w:rPr>
          <w:rFonts w:ascii="Courier New" w:hAnsi="Courier New" w:eastAsia="Courier New"/>
          <w:sz w:val="16"/>
        </w:rPr>
        <w:t xml:space="preserve">    for ts in pd.date_range(start, end, freq='15min', inclusive='left'):</w:t>
        <w:br/>
      </w:r>
      <w:r>
        <w:rPr>
          <w:rFonts w:ascii="Courier New" w:hAnsi="Courier New" w:eastAsia="Courier New"/>
          <w:sz w:val="16"/>
        </w:rPr>
        <w:t xml:space="preserve">        is_holiday = ts.date() in holidays</w:t>
        <w:br/>
      </w:r>
      <w:r>
        <w:rPr>
          <w:rFonts w:ascii="Courier New" w:hAnsi="Courier New" w:eastAsia="Courier New"/>
          <w:sz w:val="16"/>
        </w:rPr>
        <w:t xml:space="preserve">        day_type = classify_day_type(ts, is_holiday)  # weekday/saturday/sunday_holiday</w:t>
        <w:br/>
      </w:r>
      <w:r>
        <w:rPr>
          <w:rFonts w:ascii="Courier New" w:hAnsi="Courier New" w:eastAsia="Courier New"/>
          <w:sz w:val="16"/>
        </w:rPr>
        <w:t xml:space="preserve">        season = classify_season(ts, tariff, system)</w:t>
        <w:br/>
      </w:r>
      <w:r>
        <w:rPr>
          <w:rFonts w:ascii="Courier New" w:hAnsi="Courier New" w:eastAsia="Courier New"/>
          <w:sz w:val="16"/>
        </w:rPr>
        <w:t xml:space="preserve">        period = classify_period(ts.time(), tariff, system, season, day_type)</w:t>
        <w:br/>
      </w:r>
      <w:r>
        <w:rPr>
          <w:rFonts w:ascii="Courier New" w:hAnsi="Courier New" w:eastAsia="Courier New"/>
          <w:sz w:val="16"/>
        </w:rPr>
        <w:t xml:space="preserve">        rows.append([ts, system, season, day_type, period, is_holiday])</w:t>
        <w:br/>
      </w:r>
      <w:r>
        <w:rPr>
          <w:rFonts w:ascii="Courier New" w:hAnsi="Courier New" w:eastAsia="Courier New"/>
          <w:sz w:val="16"/>
        </w:rPr>
        <w:t xml:space="preserve">    return pd.DataFrame(rows, columns=['timestamp','system','season','day_type','period','is_holiday'])</w:t>
        <w:br/>
      </w:r>
    </w:p>
    <w:p>
      <w:pPr>
        <w:pStyle w:val="Heading2"/>
      </w:pPr>
      <w:r>
        <w:t>8.4 Baseline bill formulas</w:t>
      </w:r>
    </w:p>
    <w:p>
      <w:pPr>
        <w:pStyle w:val="CodeBlock"/>
      </w:pPr>
      <w:r>
        <w:rPr>
          <w:rFonts w:ascii="Courier New" w:hAnsi="Courier New" w:eastAsia="Courier New"/>
          <w:sz w:val="16"/>
        </w:rPr>
        <w:t>interval_hours = 0.25</w:t>
        <w:br/>
      </w:r>
      <w:r>
        <w:rPr>
          <w:rFonts w:ascii="Courier New" w:hAnsi="Courier New" w:eastAsia="Courier New"/>
          <w:sz w:val="16"/>
        </w:rPr>
        <w:t>Qmensual_kWh = sum(load_kw[t] * interval_hours)</w:t>
        <w:br/>
      </w:r>
      <w:r>
        <w:rPr>
          <w:rFonts w:ascii="Courier New" w:hAnsi="Courier New" w:eastAsia="Courier New"/>
          <w:sz w:val="16"/>
        </w:rPr>
        <w:t>Dmaxmensual_kw = ceil(max(load_kw[t]))</w:t>
        <w:br/>
      </w:r>
      <w:r>
        <w:rPr>
          <w:rFonts w:ascii="Courier New" w:hAnsi="Courier New" w:eastAsia="Courier New"/>
          <w:sz w:val="16"/>
        </w:rPr>
        <w:t>Dmaxpunta_kw = ceil(max(load_kw[t] where period == 'punta'))</w:t>
        <w:br/>
      </w:r>
      <w:r>
        <w:rPr>
          <w:rFonts w:ascii="Courier New" w:hAnsi="Courier New" w:eastAsia="Courier New"/>
          <w:sz w:val="16"/>
        </w:rPr>
        <w:br/>
      </w:r>
      <w:r>
        <w:rPr>
          <w:rFonts w:ascii="Courier New" w:hAnsi="Courier New" w:eastAsia="Courier New"/>
          <w:sz w:val="16"/>
        </w:rPr>
        <w:t>capacity_formula_kw = Qmensual_kWh / (24 * billing_days * factor_carga)</w:t>
        <w:br/>
      </w:r>
      <w:r>
        <w:rPr>
          <w:rFonts w:ascii="Courier New" w:hAnsi="Courier New" w:eastAsia="Courier New"/>
          <w:sz w:val="16"/>
        </w:rPr>
        <w:t>capacity_billing_kw = min(Dmaxpunta_kw, capacity_formula_kw)</w:t>
        <w:br/>
      </w:r>
      <w:r>
        <w:rPr>
          <w:rFonts w:ascii="Courier New" w:hAnsi="Courier New" w:eastAsia="Courier New"/>
          <w:sz w:val="16"/>
        </w:rPr>
        <w:br/>
      </w:r>
      <w:r>
        <w:rPr>
          <w:rFonts w:ascii="Courier New" w:hAnsi="Courier New" w:eastAsia="Courier New"/>
          <w:sz w:val="16"/>
        </w:rPr>
        <w:t>distribution_formula_kw = Qmensual_kWh / (24 * billing_days * factor_carga)</w:t>
        <w:br/>
      </w:r>
      <w:r>
        <w:rPr>
          <w:rFonts w:ascii="Courier New" w:hAnsi="Courier New" w:eastAsia="Courier New"/>
          <w:sz w:val="16"/>
        </w:rPr>
        <w:t>distribution_billing_kw = min(Dmaxmensual_kw, distribution_formula_kw)</w:t>
        <w:br/>
      </w:r>
      <w:r>
        <w:rPr>
          <w:rFonts w:ascii="Courier New" w:hAnsi="Courier New" w:eastAsia="Courier New"/>
          <w:sz w:val="16"/>
        </w:rPr>
        <w:br/>
      </w:r>
      <w:r>
        <w:rPr>
          <w:rFonts w:ascii="Courier New" w:hAnsi="Courier New" w:eastAsia="Courier New"/>
          <w:sz w:val="16"/>
        </w:rPr>
        <w:t>energy_charge = sum(kWh_period[p] * energy_rate[p])</w:t>
        <w:br/>
      </w:r>
      <w:r>
        <w:rPr>
          <w:rFonts w:ascii="Courier New" w:hAnsi="Courier New" w:eastAsia="Courier New"/>
          <w:sz w:val="16"/>
        </w:rPr>
        <w:t>capacity_charge = capacity_billing_kw * capacity_rate_kw_month</w:t>
        <w:br/>
      </w:r>
      <w:r>
        <w:rPr>
          <w:rFonts w:ascii="Courier New" w:hAnsi="Courier New" w:eastAsia="Courier New"/>
          <w:sz w:val="16"/>
        </w:rPr>
        <w:t>distribution_charge = distribution_billing_kw * distribution_rate_kw_month</w:t>
        <w:br/>
      </w:r>
      <w:r>
        <w:rPr>
          <w:rFonts w:ascii="Courier New" w:hAnsi="Courier New" w:eastAsia="Courier New"/>
          <w:sz w:val="16"/>
        </w:rPr>
        <w:t>fixed_charge = fixed_rate_month</w:t>
        <w:br/>
      </w:r>
      <w:r>
        <w:rPr>
          <w:rFonts w:ascii="Courier New" w:hAnsi="Courier New" w:eastAsia="Courier New"/>
          <w:sz w:val="16"/>
        </w:rPr>
        <w:t>bill_before_tax = energy_charge + capacity_charge + distribution_charge + fixed_charge</w:t>
        <w:br/>
      </w:r>
    </w:p>
    <w:p>
      <w:r>
        <w:t>Implementation note: if the customer does not have peak-period demand measurement or if the period has no punta, use the consumption-based formula directly for capacity. Keep a configuration flag to handle customer-class exceptions.</w:t>
      </w:r>
    </w:p>
    <w:p>
      <w:pPr>
        <w:pStyle w:val="Heading1"/>
      </w:pPr>
      <w:r>
        <w:t>9. Optimization Engine</w:t>
      </w:r>
    </w:p>
    <w:p>
      <w:pPr>
        <w:pStyle w:val="Heading2"/>
      </w:pPr>
      <w:r>
        <w:t>9.1 Objective</w:t>
      </w:r>
    </w:p>
    <w:p>
      <w:pPr>
        <w:pStyle w:val="CodeBlock"/>
      </w:pPr>
      <w:r>
        <w:rPr>
          <w:rFonts w:ascii="Courier New" w:hAnsi="Courier New" w:eastAsia="Courier New"/>
          <w:sz w:val="16"/>
        </w:rPr>
        <w:t>minimize total_cost =</w:t>
        <w:br/>
      </w:r>
      <w:r>
        <w:rPr>
          <w:rFonts w:ascii="Courier New" w:hAnsi="Courier New" w:eastAsia="Courier New"/>
          <w:sz w:val="16"/>
        </w:rPr>
        <w:t xml:space="preserve">    energy_charges</w:t>
        <w:br/>
      </w:r>
      <w:r>
        <w:rPr>
          <w:rFonts w:ascii="Courier New" w:hAnsi="Courier New" w:eastAsia="Courier New"/>
          <w:sz w:val="16"/>
        </w:rPr>
        <w:t xml:space="preserve">  + capacity_charge</w:t>
        <w:br/>
      </w:r>
      <w:r>
        <w:rPr>
          <w:rFonts w:ascii="Courier New" w:hAnsi="Courier New" w:eastAsia="Courier New"/>
          <w:sz w:val="16"/>
        </w:rPr>
        <w:t xml:space="preserve">  + distribution_charge</w:t>
        <w:br/>
      </w:r>
      <w:r>
        <w:rPr>
          <w:rFonts w:ascii="Courier New" w:hAnsi="Courier New" w:eastAsia="Courier New"/>
          <w:sz w:val="16"/>
        </w:rPr>
        <w:t xml:space="preserve">  + fixed_charge</w:t>
        <w:br/>
      </w:r>
      <w:r>
        <w:rPr>
          <w:rFonts w:ascii="Courier New" w:hAnsi="Courier New" w:eastAsia="Courier New"/>
          <w:sz w:val="16"/>
        </w:rPr>
        <w:t xml:space="preserve">  + degradation_cost</w:t>
        <w:br/>
      </w:r>
      <w:r>
        <w:rPr>
          <w:rFonts w:ascii="Courier New" w:hAnsi="Courier New" w:eastAsia="Courier New"/>
          <w:sz w:val="16"/>
        </w:rPr>
        <w:t xml:space="preserve">  + optional_unserved_energy_penalty</w:t>
        <w:br/>
      </w:r>
    </w:p>
    <w:p>
      <w:pPr>
        <w:pStyle w:val="Heading2"/>
      </w:pPr>
      <w:r>
        <w:t>9.2 Decision variables at each 15-minute interval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0"/>
            </w:pPr>
            <w:r/>
            <w:r>
              <w:rPr>
                <w:b/>
                <w:color w:val="FFFFFF"/>
              </w:rPr>
              <w:t>Variable</w:t>
            </w:r>
          </w:p>
        </w:tc>
        <w:tc>
          <w:tcPr>
            <w:tcW w:type="dxa" w:w="3456"/>
            <w:vAlign w:val="top"/>
            <w:shd w:fill="1F4E79"/>
          </w:tcPr>
          <w:p>
            <w:pPr>
              <w:spacing w:after="0"/>
            </w:pPr>
            <w:r/>
            <w:r>
              <w:rPr>
                <w:b/>
                <w:color w:val="FFFFFF"/>
              </w:rPr>
              <w:t>Unit</w:t>
            </w:r>
          </w:p>
        </w:tc>
        <w:tc>
          <w:tcPr>
            <w:tcW w:type="dxa" w:w="3456"/>
            <w:vAlign w:val="top"/>
            <w:shd w:fill="1F4E79"/>
          </w:tcPr>
          <w:p>
            <w:pPr>
              <w:spacing w:after="0"/>
            </w:pPr>
            <w:r/>
            <w:r>
              <w:rPr>
                <w:b/>
                <w:color w:val="FFFFFF"/>
              </w:rPr>
              <w:t>Description</w:t>
            </w:r>
          </w:p>
        </w:tc>
      </w:tr>
      <w:tr>
        <w:tc>
          <w:tcPr>
            <w:tcW w:type="dxa" w:w="3456"/>
            <w:vAlign w:val="top"/>
          </w:tcPr>
          <w:p>
            <w:pPr>
              <w:spacing w:after="0"/>
            </w:pPr>
            <w:r/>
            <w:r>
              <w:rPr>
                <w:b w:val="0"/>
              </w:rPr>
              <w:t>charge_grid_kw[t]</w:t>
            </w:r>
          </w:p>
        </w:tc>
        <w:tc>
          <w:tcPr>
            <w:tcW w:type="dxa" w:w="3456"/>
            <w:vAlign w:val="top"/>
          </w:tcPr>
          <w:p>
            <w:pPr>
              <w:spacing w:after="0"/>
            </w:pPr>
            <w:r/>
            <w:r>
              <w:rPr>
                <w:b w:val="0"/>
              </w:rPr>
              <w:t>kW</w:t>
            </w:r>
          </w:p>
        </w:tc>
        <w:tc>
          <w:tcPr>
            <w:tcW w:type="dxa" w:w="3456"/>
            <w:vAlign w:val="top"/>
          </w:tcPr>
          <w:p>
            <w:pPr>
              <w:spacing w:after="0"/>
            </w:pPr>
            <w:r/>
            <w:r>
              <w:rPr>
                <w:b w:val="0"/>
              </w:rPr>
              <w:t>Battery charge from grid.</w:t>
            </w:r>
          </w:p>
        </w:tc>
      </w:tr>
      <w:tr>
        <w:tc>
          <w:tcPr>
            <w:tcW w:type="dxa" w:w="3456"/>
            <w:vAlign w:val="top"/>
          </w:tcPr>
          <w:p>
            <w:pPr>
              <w:spacing w:after="0"/>
            </w:pPr>
            <w:r/>
            <w:r>
              <w:rPr>
                <w:b w:val="0"/>
              </w:rPr>
              <w:t>charge_pv_kw[t]</w:t>
            </w:r>
          </w:p>
        </w:tc>
        <w:tc>
          <w:tcPr>
            <w:tcW w:type="dxa" w:w="3456"/>
            <w:vAlign w:val="top"/>
          </w:tcPr>
          <w:p>
            <w:pPr>
              <w:spacing w:after="0"/>
            </w:pPr>
            <w:r/>
            <w:r>
              <w:rPr>
                <w:b w:val="0"/>
              </w:rPr>
              <w:t>kW</w:t>
            </w:r>
          </w:p>
        </w:tc>
        <w:tc>
          <w:tcPr>
            <w:tcW w:type="dxa" w:w="3456"/>
            <w:vAlign w:val="top"/>
          </w:tcPr>
          <w:p>
            <w:pPr>
              <w:spacing w:after="0"/>
            </w:pPr>
            <w:r/>
            <w:r>
              <w:rPr>
                <w:b w:val="0"/>
              </w:rPr>
              <w:t>Battery charge from PV surplus.</w:t>
            </w:r>
          </w:p>
        </w:tc>
      </w:tr>
      <w:tr>
        <w:tc>
          <w:tcPr>
            <w:tcW w:type="dxa" w:w="3456"/>
            <w:vAlign w:val="top"/>
          </w:tcPr>
          <w:p>
            <w:pPr>
              <w:spacing w:after="0"/>
            </w:pPr>
            <w:r/>
            <w:r>
              <w:rPr>
                <w:b w:val="0"/>
              </w:rPr>
              <w:t>discharge_kw[t]</w:t>
            </w:r>
          </w:p>
        </w:tc>
        <w:tc>
          <w:tcPr>
            <w:tcW w:type="dxa" w:w="3456"/>
            <w:vAlign w:val="top"/>
          </w:tcPr>
          <w:p>
            <w:pPr>
              <w:spacing w:after="0"/>
            </w:pPr>
            <w:r/>
            <w:r>
              <w:rPr>
                <w:b w:val="0"/>
              </w:rPr>
              <w:t>kW</w:t>
            </w:r>
          </w:p>
        </w:tc>
        <w:tc>
          <w:tcPr>
            <w:tcW w:type="dxa" w:w="3456"/>
            <w:vAlign w:val="top"/>
          </w:tcPr>
          <w:p>
            <w:pPr>
              <w:spacing w:after="0"/>
            </w:pPr>
            <w:r/>
            <w:r>
              <w:rPr>
                <w:b w:val="0"/>
              </w:rPr>
              <w:t>Battery discharge to load.</w:t>
            </w:r>
          </w:p>
        </w:tc>
      </w:tr>
      <w:tr>
        <w:tc>
          <w:tcPr>
            <w:tcW w:type="dxa" w:w="3456"/>
            <w:vAlign w:val="top"/>
          </w:tcPr>
          <w:p>
            <w:pPr>
              <w:spacing w:after="0"/>
            </w:pPr>
            <w:r/>
            <w:r>
              <w:rPr>
                <w:b w:val="0"/>
              </w:rPr>
              <w:t>soc_kwh[t]</w:t>
            </w:r>
          </w:p>
        </w:tc>
        <w:tc>
          <w:tcPr>
            <w:tcW w:type="dxa" w:w="3456"/>
            <w:vAlign w:val="top"/>
          </w:tcPr>
          <w:p>
            <w:pPr>
              <w:spacing w:after="0"/>
            </w:pPr>
            <w:r/>
            <w:r>
              <w:rPr>
                <w:b w:val="0"/>
              </w:rPr>
              <w:t>kWh</w:t>
            </w:r>
          </w:p>
        </w:tc>
        <w:tc>
          <w:tcPr>
            <w:tcW w:type="dxa" w:w="3456"/>
            <w:vAlign w:val="top"/>
          </w:tcPr>
          <w:p>
            <w:pPr>
              <w:spacing w:after="0"/>
            </w:pPr>
            <w:r/>
            <w:r>
              <w:rPr>
                <w:b w:val="0"/>
              </w:rPr>
              <w:t>Battery state of charge.</w:t>
            </w:r>
          </w:p>
        </w:tc>
      </w:tr>
      <w:tr>
        <w:tc>
          <w:tcPr>
            <w:tcW w:type="dxa" w:w="3456"/>
            <w:vAlign w:val="top"/>
          </w:tcPr>
          <w:p>
            <w:pPr>
              <w:spacing w:after="0"/>
            </w:pPr>
            <w:r/>
            <w:r>
              <w:rPr>
                <w:b w:val="0"/>
              </w:rPr>
              <w:t>grid_import_kw[t]</w:t>
            </w:r>
          </w:p>
        </w:tc>
        <w:tc>
          <w:tcPr>
            <w:tcW w:type="dxa" w:w="3456"/>
            <w:vAlign w:val="top"/>
          </w:tcPr>
          <w:p>
            <w:pPr>
              <w:spacing w:after="0"/>
            </w:pPr>
            <w:r/>
            <w:r>
              <w:rPr>
                <w:b w:val="0"/>
              </w:rPr>
              <w:t>kW</w:t>
            </w:r>
          </w:p>
        </w:tc>
        <w:tc>
          <w:tcPr>
            <w:tcW w:type="dxa" w:w="3456"/>
            <w:vAlign w:val="top"/>
          </w:tcPr>
          <w:p>
            <w:pPr>
              <w:spacing w:after="0"/>
            </w:pPr>
            <w:r/>
            <w:r>
              <w:rPr>
                <w:b w:val="0"/>
              </w:rPr>
              <w:t>Net import from CFE.</w:t>
            </w:r>
          </w:p>
        </w:tc>
      </w:tr>
      <w:tr>
        <w:tc>
          <w:tcPr>
            <w:tcW w:type="dxa" w:w="3456"/>
            <w:vAlign w:val="top"/>
          </w:tcPr>
          <w:p>
            <w:pPr>
              <w:spacing w:after="0"/>
            </w:pPr>
            <w:r/>
            <w:r>
              <w:rPr>
                <w:b w:val="0"/>
              </w:rPr>
              <w:t>grid_export_kw[t]</w:t>
            </w:r>
          </w:p>
        </w:tc>
        <w:tc>
          <w:tcPr>
            <w:tcW w:type="dxa" w:w="3456"/>
            <w:vAlign w:val="top"/>
          </w:tcPr>
          <w:p>
            <w:pPr>
              <w:spacing w:after="0"/>
            </w:pPr>
            <w:r/>
            <w:r>
              <w:rPr>
                <w:b w:val="0"/>
              </w:rPr>
              <w:t>kW</w:t>
            </w:r>
          </w:p>
        </w:tc>
        <w:tc>
          <w:tcPr>
            <w:tcW w:type="dxa" w:w="3456"/>
            <w:vAlign w:val="top"/>
          </w:tcPr>
          <w:p>
            <w:pPr>
              <w:spacing w:after="0"/>
            </w:pPr>
            <w:r/>
            <w:r>
              <w:rPr>
                <w:b w:val="0"/>
              </w:rPr>
              <w:t>Export to grid; set to zero in no-export mode.</w:t>
            </w:r>
          </w:p>
        </w:tc>
      </w:tr>
      <w:tr>
        <w:tc>
          <w:tcPr>
            <w:tcW w:type="dxa" w:w="3456"/>
            <w:vAlign w:val="top"/>
          </w:tcPr>
          <w:p>
            <w:pPr>
              <w:spacing w:after="0"/>
            </w:pPr>
            <w:r/>
            <w:r>
              <w:rPr>
                <w:b w:val="0"/>
              </w:rPr>
              <w:t>pv_to_load_kw[t]</w:t>
            </w:r>
          </w:p>
        </w:tc>
        <w:tc>
          <w:tcPr>
            <w:tcW w:type="dxa" w:w="3456"/>
            <w:vAlign w:val="top"/>
          </w:tcPr>
          <w:p>
            <w:pPr>
              <w:spacing w:after="0"/>
            </w:pPr>
            <w:r/>
            <w:r>
              <w:rPr>
                <w:b w:val="0"/>
              </w:rPr>
              <w:t>kW</w:t>
            </w:r>
          </w:p>
        </w:tc>
        <w:tc>
          <w:tcPr>
            <w:tcW w:type="dxa" w:w="3456"/>
            <w:vAlign w:val="top"/>
          </w:tcPr>
          <w:p>
            <w:pPr>
              <w:spacing w:after="0"/>
            </w:pPr>
            <w:r/>
            <w:r>
              <w:rPr>
                <w:b w:val="0"/>
              </w:rPr>
              <w:t>PV directly consumed by load.</w:t>
            </w:r>
          </w:p>
        </w:tc>
      </w:tr>
      <w:tr>
        <w:tc>
          <w:tcPr>
            <w:tcW w:type="dxa" w:w="3456"/>
            <w:vAlign w:val="top"/>
          </w:tcPr>
          <w:p>
            <w:pPr>
              <w:spacing w:after="0"/>
            </w:pPr>
            <w:r/>
            <w:r>
              <w:rPr>
                <w:b w:val="0"/>
              </w:rPr>
              <w:t>pv_curtailed_kw[t]</w:t>
            </w:r>
          </w:p>
        </w:tc>
        <w:tc>
          <w:tcPr>
            <w:tcW w:type="dxa" w:w="3456"/>
            <w:vAlign w:val="top"/>
          </w:tcPr>
          <w:p>
            <w:pPr>
              <w:spacing w:after="0"/>
            </w:pPr>
            <w:r/>
            <w:r>
              <w:rPr>
                <w:b w:val="0"/>
              </w:rPr>
              <w:t>kW</w:t>
            </w:r>
          </w:p>
        </w:tc>
        <w:tc>
          <w:tcPr>
            <w:tcW w:type="dxa" w:w="3456"/>
            <w:vAlign w:val="top"/>
          </w:tcPr>
          <w:p>
            <w:pPr>
              <w:spacing w:after="0"/>
            </w:pPr>
            <w:r/>
            <w:r>
              <w:rPr>
                <w:b w:val="0"/>
              </w:rPr>
              <w:t>Unused PV when export is blocked and BESS is full.</w:t>
            </w:r>
          </w:p>
        </w:tc>
      </w:tr>
    </w:tbl>
    <w:p/>
    <w:p>
      <w:pPr>
        <w:pStyle w:val="Heading2"/>
      </w:pPr>
      <w:r>
        <w:t>9.3 Core constraints</w:t>
      </w:r>
    </w:p>
    <w:p>
      <w:pPr>
        <w:pStyle w:val="CodeBlock"/>
      </w:pPr>
      <w:r>
        <w:rPr>
          <w:rFonts w:ascii="Courier New" w:hAnsi="Courier New" w:eastAsia="Courier New"/>
          <w:sz w:val="16"/>
        </w:rPr>
        <w:t>0 &lt;= charge_grid_kw[t] &lt;= bess_power_kw</w:t>
        <w:br/>
      </w:r>
      <w:r>
        <w:rPr>
          <w:rFonts w:ascii="Courier New" w:hAnsi="Courier New" w:eastAsia="Courier New"/>
          <w:sz w:val="16"/>
        </w:rPr>
        <w:t>0 &lt;= charge_pv_kw[t] &lt;= bess_power_kw</w:t>
        <w:br/>
      </w:r>
      <w:r>
        <w:rPr>
          <w:rFonts w:ascii="Courier New" w:hAnsi="Courier New" w:eastAsia="Courier New"/>
          <w:sz w:val="16"/>
        </w:rPr>
        <w:t>0 &lt;= discharge_kw[t] &lt;= bess_power_kw</w:t>
        <w:br/>
      </w:r>
      <w:r>
        <w:rPr>
          <w:rFonts w:ascii="Courier New" w:hAnsi="Courier New" w:eastAsia="Courier New"/>
          <w:sz w:val="16"/>
        </w:rPr>
        <w:t>soc_min_kwh &lt;= soc_kwh[t] &lt;= soc_max_kwh</w:t>
        <w:br/>
      </w:r>
      <w:r>
        <w:rPr>
          <w:rFonts w:ascii="Courier New" w:hAnsi="Courier New" w:eastAsia="Courier New"/>
          <w:sz w:val="16"/>
        </w:rPr>
        <w:t>grid_import_kw[t] &gt;= 0</w:t>
        <w:br/>
      </w:r>
      <w:r>
        <w:rPr>
          <w:rFonts w:ascii="Courier New" w:hAnsi="Courier New" w:eastAsia="Courier New"/>
          <w:sz w:val="16"/>
        </w:rPr>
        <w:t>grid_export_kw[t] = 0  # default no-export mode</w:t>
        <w:br/>
      </w:r>
      <w:r>
        <w:rPr>
          <w:rFonts w:ascii="Courier New" w:hAnsi="Courier New" w:eastAsia="Courier New"/>
          <w:sz w:val="16"/>
        </w:rPr>
        <w:br/>
      </w:r>
      <w:r>
        <w:rPr>
          <w:rFonts w:ascii="Courier New" w:hAnsi="Courier New" w:eastAsia="Courier New"/>
          <w:sz w:val="16"/>
        </w:rPr>
        <w:t>soc[t] = soc[t-1]</w:t>
        <w:br/>
      </w:r>
      <w:r>
        <w:rPr>
          <w:rFonts w:ascii="Courier New" w:hAnsi="Courier New" w:eastAsia="Courier New"/>
          <w:sz w:val="16"/>
        </w:rPr>
        <w:t xml:space="preserve">       + charge_grid_kw[t] * 0.25 * eta_charge</w:t>
        <w:br/>
      </w:r>
      <w:r>
        <w:rPr>
          <w:rFonts w:ascii="Courier New" w:hAnsi="Courier New" w:eastAsia="Courier New"/>
          <w:sz w:val="16"/>
        </w:rPr>
        <w:t xml:space="preserve">       + charge_pv_kw[t] * 0.25 * eta_charge</w:t>
        <w:br/>
      </w:r>
      <w:r>
        <w:rPr>
          <w:rFonts w:ascii="Courier New" w:hAnsi="Courier New" w:eastAsia="Courier New"/>
          <w:sz w:val="16"/>
        </w:rPr>
        <w:t xml:space="preserve">       - discharge_kw[t] * 0.25 / eta_discharge</w:t>
        <w:br/>
      </w:r>
      <w:r>
        <w:rPr>
          <w:rFonts w:ascii="Courier New" w:hAnsi="Courier New" w:eastAsia="Courier New"/>
          <w:sz w:val="16"/>
        </w:rPr>
        <w:br/>
      </w:r>
      <w:r>
        <w:rPr>
          <w:rFonts w:ascii="Courier New" w:hAnsi="Courier New" w:eastAsia="Courier New"/>
          <w:sz w:val="16"/>
        </w:rPr>
        <w:t>load_kw[t] = pv_to_load_kw[t] + discharge_kw[t] + grid_import_kw[t]</w:t>
        <w:br/>
      </w:r>
      <w:r>
        <w:rPr>
          <w:rFonts w:ascii="Courier New" w:hAnsi="Courier New" w:eastAsia="Courier New"/>
          <w:sz w:val="16"/>
        </w:rPr>
        <w:t>pv_kw[t] = pv_to_load_kw[t] + charge_pv_kw[t] + pv_curtailed_kw[t] + grid_export_kw[t]</w:t>
        <w:br/>
      </w:r>
    </w:p>
    <w:p>
      <w:pPr>
        <w:pStyle w:val="Heading2"/>
      </w:pPr>
      <w:r>
        <w:t>9.4 Solvers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0"/>
            </w:pPr>
            <w:r/>
            <w:r>
              <w:rPr>
                <w:b/>
                <w:color w:val="FFFFFF"/>
              </w:rPr>
              <w:t>Option</w:t>
            </w:r>
          </w:p>
        </w:tc>
        <w:tc>
          <w:tcPr>
            <w:tcW w:type="dxa" w:w="3456"/>
            <w:vAlign w:val="top"/>
            <w:shd w:fill="1F4E79"/>
          </w:tcPr>
          <w:p>
            <w:pPr>
              <w:spacing w:after="0"/>
            </w:pPr>
            <w:r/>
            <w:r>
              <w:rPr>
                <w:b/>
                <w:color w:val="FFFFFF"/>
              </w:rPr>
              <w:t>Use case</w:t>
            </w:r>
          </w:p>
        </w:tc>
        <w:tc>
          <w:tcPr>
            <w:tcW w:type="dxa" w:w="3456"/>
            <w:vAlign w:val="top"/>
            <w:shd w:fill="1F4E79"/>
          </w:tcPr>
          <w:p>
            <w:pPr>
              <w:spacing w:after="0"/>
            </w:pPr>
            <w:r/>
            <w:r>
              <w:rPr>
                <w:b/>
                <w:color w:val="FFFFFF"/>
              </w:rPr>
              <w:t>Recommendation</w:t>
            </w:r>
          </w:p>
        </w:tc>
      </w:tr>
      <w:tr>
        <w:tc>
          <w:tcPr>
            <w:tcW w:type="dxa" w:w="3456"/>
            <w:vAlign w:val="top"/>
          </w:tcPr>
          <w:p>
            <w:pPr>
              <w:spacing w:after="0"/>
            </w:pPr>
            <w:r/>
            <w:r>
              <w:rPr>
                <w:b w:val="0"/>
              </w:rPr>
              <w:t>Rule-based dispatch</w:t>
            </w:r>
          </w:p>
        </w:tc>
        <w:tc>
          <w:tcPr>
            <w:tcW w:type="dxa" w:w="3456"/>
            <w:vAlign w:val="top"/>
          </w:tcPr>
          <w:p>
            <w:pPr>
              <w:spacing w:after="0"/>
            </w:pPr>
            <w:r/>
            <w:r>
              <w:rPr>
                <w:b w:val="0"/>
              </w:rPr>
              <w:t>Fast demo and sanity check</w:t>
            </w:r>
          </w:p>
        </w:tc>
        <w:tc>
          <w:tcPr>
            <w:tcW w:type="dxa" w:w="3456"/>
            <w:vAlign w:val="top"/>
          </w:tcPr>
          <w:p>
            <w:pPr>
              <w:spacing w:after="0"/>
            </w:pPr>
            <w:r/>
            <w:r>
              <w:rPr>
                <w:b w:val="0"/>
              </w:rPr>
              <w:t>Implement first as benchmark.</w:t>
            </w:r>
          </w:p>
        </w:tc>
      </w:tr>
      <w:tr>
        <w:tc>
          <w:tcPr>
            <w:tcW w:type="dxa" w:w="3456"/>
            <w:vAlign w:val="top"/>
          </w:tcPr>
          <w:p>
            <w:pPr>
              <w:spacing w:after="0"/>
            </w:pPr>
            <w:r/>
            <w:r>
              <w:rPr>
                <w:b w:val="0"/>
              </w:rPr>
              <w:t>Linear programming with HiGHS/Pyomo or PuLP</w:t>
            </w:r>
          </w:p>
        </w:tc>
        <w:tc>
          <w:tcPr>
            <w:tcW w:type="dxa" w:w="3456"/>
            <w:vAlign w:val="top"/>
          </w:tcPr>
          <w:p>
            <w:pPr>
              <w:spacing w:after="0"/>
            </w:pPr>
            <w:r/>
            <w:r>
              <w:rPr>
                <w:b w:val="0"/>
              </w:rPr>
              <w:t>Bankable monthly bill optimization</w:t>
            </w:r>
          </w:p>
        </w:tc>
        <w:tc>
          <w:tcPr>
            <w:tcW w:type="dxa" w:w="3456"/>
            <w:vAlign w:val="top"/>
          </w:tcPr>
          <w:p>
            <w:pPr>
              <w:spacing w:after="0"/>
            </w:pPr>
            <w:r/>
            <w:r>
              <w:rPr>
                <w:b w:val="0"/>
              </w:rPr>
              <w:t>Main engine.</w:t>
            </w:r>
          </w:p>
        </w:tc>
      </w:tr>
      <w:tr>
        <w:tc>
          <w:tcPr>
            <w:tcW w:type="dxa" w:w="3456"/>
            <w:vAlign w:val="top"/>
          </w:tcPr>
          <w:p>
            <w:pPr>
              <w:spacing w:after="0"/>
            </w:pPr>
            <w:r/>
            <w:r>
              <w:rPr>
                <w:b w:val="0"/>
              </w:rPr>
              <w:t>Rolling horizon optimization</w:t>
            </w:r>
          </w:p>
        </w:tc>
        <w:tc>
          <w:tcPr>
            <w:tcW w:type="dxa" w:w="3456"/>
            <w:vAlign w:val="top"/>
          </w:tcPr>
          <w:p>
            <w:pPr>
              <w:spacing w:after="0"/>
            </w:pPr>
            <w:r/>
            <w:r>
              <w:rPr>
                <w:b w:val="0"/>
              </w:rPr>
              <w:t>Real EMS simulation</w:t>
            </w:r>
          </w:p>
        </w:tc>
        <w:tc>
          <w:tcPr>
            <w:tcW w:type="dxa" w:w="3456"/>
            <w:vAlign w:val="top"/>
          </w:tcPr>
          <w:p>
            <w:pPr>
              <w:spacing w:after="0"/>
            </w:pPr>
            <w:r/>
            <w:r>
              <w:rPr>
                <w:b w:val="0"/>
              </w:rPr>
              <w:t>Phase 2 after static historical optimization.</w:t>
            </w:r>
          </w:p>
        </w:tc>
      </w:tr>
    </w:tbl>
    <w:p/>
    <w:p>
      <w:pPr>
        <w:pStyle w:val="Heading1"/>
      </w:pPr>
      <w:r>
        <w:t>10. Dispatch Strategies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0"/>
            </w:pPr>
            <w:r/>
            <w:r>
              <w:rPr>
                <w:b/>
                <w:color w:val="FFFFFF"/>
              </w:rPr>
              <w:t>Strategy</w:t>
            </w:r>
          </w:p>
        </w:tc>
        <w:tc>
          <w:tcPr>
            <w:tcW w:type="dxa" w:w="3456"/>
            <w:vAlign w:val="top"/>
            <w:shd w:fill="1F4E79"/>
          </w:tcPr>
          <w:p>
            <w:pPr>
              <w:spacing w:after="0"/>
            </w:pPr>
            <w:r/>
            <w:r>
              <w:rPr>
                <w:b/>
                <w:color w:val="FFFFFF"/>
              </w:rPr>
              <w:t>Priority logic</w:t>
            </w:r>
          </w:p>
        </w:tc>
        <w:tc>
          <w:tcPr>
            <w:tcW w:type="dxa" w:w="3456"/>
            <w:vAlign w:val="top"/>
            <w:shd w:fill="1F4E79"/>
          </w:tcPr>
          <w:p>
            <w:pPr>
              <w:spacing w:after="0"/>
            </w:pPr>
            <w:r/>
            <w:r>
              <w:rPr>
                <w:b/>
                <w:color w:val="FFFFFF"/>
              </w:rPr>
              <w:t>Value driver</w:t>
            </w:r>
          </w:p>
        </w:tc>
      </w:tr>
      <w:tr>
        <w:tc>
          <w:tcPr>
            <w:tcW w:type="dxa" w:w="3456"/>
            <w:vAlign w:val="top"/>
          </w:tcPr>
          <w:p>
            <w:pPr>
              <w:spacing w:after="0"/>
            </w:pPr>
            <w:r/>
            <w:r>
              <w:rPr>
                <w:b w:val="0"/>
              </w:rPr>
              <w:t>BESS-only peak shaving</w:t>
            </w:r>
          </w:p>
        </w:tc>
        <w:tc>
          <w:tcPr>
            <w:tcW w:type="dxa" w:w="3456"/>
            <w:vAlign w:val="top"/>
          </w:tcPr>
          <w:p>
            <w:pPr>
              <w:spacing w:after="0"/>
            </w:pPr>
            <w:r/>
            <w:r>
              <w:rPr>
                <w:b w:val="0"/>
              </w:rPr>
              <w:t>Charge in base; discharge first in punta, second at monthly peak events.</w:t>
            </w:r>
          </w:p>
        </w:tc>
        <w:tc>
          <w:tcPr>
            <w:tcW w:type="dxa" w:w="3456"/>
            <w:vAlign w:val="top"/>
          </w:tcPr>
          <w:p>
            <w:pPr>
              <w:spacing w:after="0"/>
            </w:pPr>
            <w:r/>
            <w:r>
              <w:rPr>
                <w:b w:val="0"/>
              </w:rPr>
              <w:t>Capacity + distribution + peak kWh.</w:t>
            </w:r>
          </w:p>
        </w:tc>
      </w:tr>
      <w:tr>
        <w:tc>
          <w:tcPr>
            <w:tcW w:type="dxa" w:w="3456"/>
            <w:vAlign w:val="top"/>
          </w:tcPr>
          <w:p>
            <w:pPr>
              <w:spacing w:after="0"/>
            </w:pPr>
            <w:r/>
            <w:r>
              <w:rPr>
                <w:b w:val="0"/>
              </w:rPr>
              <w:t>PV+BESS no export</w:t>
            </w:r>
          </w:p>
        </w:tc>
        <w:tc>
          <w:tcPr>
            <w:tcW w:type="dxa" w:w="3456"/>
            <w:vAlign w:val="top"/>
          </w:tcPr>
          <w:p>
            <w:pPr>
              <w:spacing w:after="0"/>
            </w:pPr>
            <w:r/>
            <w:r>
              <w:rPr>
                <w:b w:val="0"/>
              </w:rPr>
              <w:t>PV to load, PV surplus to BESS, curtail residual, discharge in punta and demand-risk intervals.</w:t>
            </w:r>
          </w:p>
        </w:tc>
        <w:tc>
          <w:tcPr>
            <w:tcW w:type="dxa" w:w="3456"/>
            <w:vAlign w:val="top"/>
          </w:tcPr>
          <w:p>
            <w:pPr>
              <w:spacing w:after="0"/>
            </w:pPr>
            <w:r/>
            <w:r>
              <w:rPr>
                <w:b w:val="0"/>
              </w:rPr>
              <w:t>PV self-consumption + demand reduction.</w:t>
            </w:r>
          </w:p>
        </w:tc>
      </w:tr>
      <w:tr>
        <w:tc>
          <w:tcPr>
            <w:tcW w:type="dxa" w:w="3456"/>
            <w:vAlign w:val="top"/>
          </w:tcPr>
          <w:p>
            <w:pPr>
              <w:spacing w:after="0"/>
            </w:pPr>
            <w:r/>
            <w:r>
              <w:rPr>
                <w:b w:val="0"/>
              </w:rPr>
              <w:t>Grid-charging enabled</w:t>
            </w:r>
          </w:p>
        </w:tc>
        <w:tc>
          <w:tcPr>
            <w:tcW w:type="dxa" w:w="3456"/>
            <w:vAlign w:val="top"/>
          </w:tcPr>
          <w:p>
            <w:pPr>
              <w:spacing w:after="0"/>
            </w:pPr>
            <w:r/>
            <w:r>
              <w:rPr>
                <w:b w:val="0"/>
              </w:rPr>
              <w:t>Allow grid charge in base; block during punta; optional intermedia only if optimized savings positive.</w:t>
            </w:r>
          </w:p>
        </w:tc>
        <w:tc>
          <w:tcPr>
            <w:tcW w:type="dxa" w:w="3456"/>
            <w:vAlign w:val="top"/>
          </w:tcPr>
          <w:p>
            <w:pPr>
              <w:spacing w:after="0"/>
            </w:pPr>
            <w:r/>
            <w:r>
              <w:rPr>
                <w:b w:val="0"/>
              </w:rPr>
              <w:t>TOU spread + demand control.</w:t>
            </w:r>
          </w:p>
        </w:tc>
      </w:tr>
      <w:tr>
        <w:tc>
          <w:tcPr>
            <w:tcW w:type="dxa" w:w="3456"/>
            <w:vAlign w:val="top"/>
          </w:tcPr>
          <w:p>
            <w:pPr>
              <w:spacing w:after="0"/>
            </w:pPr>
            <w:r/>
            <w:r>
              <w:rPr>
                <w:b w:val="0"/>
              </w:rPr>
              <w:t>Backup reserve</w:t>
            </w:r>
          </w:p>
        </w:tc>
        <w:tc>
          <w:tcPr>
            <w:tcW w:type="dxa" w:w="3456"/>
            <w:vAlign w:val="top"/>
          </w:tcPr>
          <w:p>
            <w:pPr>
              <w:spacing w:after="0"/>
            </w:pPr>
            <w:r/>
            <w:r>
              <w:rPr>
                <w:b w:val="0"/>
              </w:rPr>
              <w:t>Keep minimum SOC for critical load.</w:t>
            </w:r>
          </w:p>
        </w:tc>
        <w:tc>
          <w:tcPr>
            <w:tcW w:type="dxa" w:w="3456"/>
            <w:vAlign w:val="top"/>
          </w:tcPr>
          <w:p>
            <w:pPr>
              <w:spacing w:after="0"/>
            </w:pPr>
            <w:r/>
            <w:r>
              <w:rPr>
                <w:b w:val="0"/>
              </w:rPr>
              <w:t>Resilience; reduces bill-savings capacity.</w:t>
            </w:r>
          </w:p>
        </w:tc>
      </w:tr>
    </w:tbl>
    <w:p/>
    <w:p>
      <w:pPr>
        <w:pStyle w:val="Heading1"/>
      </w:pPr>
      <w:r>
        <w:t>11. Scraper Specification</w:t>
      </w:r>
    </w:p>
    <w:p>
      <w:r>
        <w:t>The system must support two data modes: starter/manual mode and scraper-update mode. Starter/manual mode reads uploaded tariff tables and customer files. Scraper-update mode refreshes public references while keeping all customer data local and user-provided.</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1F4E79"/>
          </w:tcPr>
          <w:p>
            <w:pPr>
              <w:spacing w:after="0"/>
            </w:pPr>
            <w:r/>
            <w:r>
              <w:rPr>
                <w:b/>
                <w:color w:val="FFFFFF"/>
              </w:rPr>
              <w:t>Scraper</w:t>
            </w:r>
          </w:p>
        </w:tc>
        <w:tc>
          <w:tcPr>
            <w:tcW w:type="dxa" w:w="2074"/>
            <w:vAlign w:val="top"/>
            <w:shd w:fill="1F4E79"/>
          </w:tcPr>
          <w:p>
            <w:pPr>
              <w:spacing w:after="0"/>
            </w:pPr>
            <w:r/>
            <w:r>
              <w:rPr>
                <w:b/>
                <w:color w:val="FFFFFF"/>
              </w:rPr>
              <w:t>Source</w:t>
            </w:r>
          </w:p>
        </w:tc>
        <w:tc>
          <w:tcPr>
            <w:tcW w:type="dxa" w:w="2074"/>
            <w:vAlign w:val="top"/>
            <w:shd w:fill="1F4E79"/>
          </w:tcPr>
          <w:p>
            <w:pPr>
              <w:spacing w:after="0"/>
            </w:pPr>
            <w:r/>
            <w:r>
              <w:rPr>
                <w:b/>
                <w:color w:val="FFFFFF"/>
              </w:rPr>
              <w:t>Frequency</w:t>
            </w:r>
          </w:p>
        </w:tc>
        <w:tc>
          <w:tcPr>
            <w:tcW w:type="dxa" w:w="2074"/>
            <w:vAlign w:val="top"/>
            <w:shd w:fill="1F4E79"/>
          </w:tcPr>
          <w:p>
            <w:pPr>
              <w:spacing w:after="0"/>
            </w:pPr>
            <w:r/>
            <w:r>
              <w:rPr>
                <w:b/>
                <w:color w:val="FFFFFF"/>
              </w:rPr>
              <w:t>Output</w:t>
            </w:r>
          </w:p>
        </w:tc>
        <w:tc>
          <w:tcPr>
            <w:tcW w:type="dxa" w:w="2074"/>
            <w:vAlign w:val="top"/>
            <w:shd w:fill="1F4E79"/>
          </w:tcPr>
          <w:p>
            <w:pPr>
              <w:spacing w:after="0"/>
            </w:pPr>
            <w:r/>
            <w:r>
              <w:rPr>
                <w:b/>
                <w:color w:val="FFFFFF"/>
              </w:rPr>
              <w:t>Implementation notes</w:t>
            </w:r>
          </w:p>
        </w:tc>
      </w:tr>
      <w:tr>
        <w:tc>
          <w:tcPr>
            <w:tcW w:type="dxa" w:w="2074"/>
            <w:vAlign w:val="top"/>
          </w:tcPr>
          <w:p>
            <w:pPr>
              <w:spacing w:after="0"/>
            </w:pPr>
            <w:r/>
            <w:r>
              <w:rPr>
                <w:b w:val="0"/>
              </w:rPr>
              <w:t>cfe_tariff_scraper.py</w:t>
            </w:r>
          </w:p>
        </w:tc>
        <w:tc>
          <w:tcPr>
            <w:tcW w:type="dxa" w:w="2074"/>
            <w:vAlign w:val="top"/>
          </w:tcPr>
          <w:p>
            <w:pPr>
              <w:spacing w:after="0"/>
            </w:pPr>
            <w:r/>
            <w:r>
              <w:rPr>
                <w:b w:val="0"/>
              </w:rPr>
              <w:t>CFE industrial tariff pages</w:t>
            </w:r>
          </w:p>
        </w:tc>
        <w:tc>
          <w:tcPr>
            <w:tcW w:type="dxa" w:w="2074"/>
            <w:vAlign w:val="top"/>
          </w:tcPr>
          <w:p>
            <w:pPr>
              <w:spacing w:after="0"/>
            </w:pPr>
            <w:r/>
            <w:r>
              <w:rPr>
                <w:b w:val="0"/>
              </w:rPr>
              <w:t>Monthly or on demand</w:t>
            </w:r>
          </w:p>
        </w:tc>
        <w:tc>
          <w:tcPr>
            <w:tcW w:type="dxa" w:w="2074"/>
            <w:vAlign w:val="top"/>
          </w:tcPr>
          <w:p>
            <w:pPr>
              <w:spacing w:after="0"/>
            </w:pPr>
            <w:r/>
            <w:r>
              <w:rPr>
                <w:b w:val="0"/>
              </w:rPr>
              <w:t>tariff_rates.parquet/csv</w:t>
            </w:r>
          </w:p>
        </w:tc>
        <w:tc>
          <w:tcPr>
            <w:tcW w:type="dxa" w:w="2074"/>
            <w:vAlign w:val="top"/>
          </w:tcPr>
          <w:p>
            <w:pPr>
              <w:spacing w:after="0"/>
            </w:pPr>
            <w:r/>
            <w:r>
              <w:rPr>
                <w:b w:val="0"/>
              </w:rPr>
              <w:t>Use browser/requests fallback. Page requires selecting year/month/state/municipality/division/tariff. Parse GDMTO/GDMTH/DIST/DIT tables.</w:t>
            </w:r>
          </w:p>
        </w:tc>
      </w:tr>
      <w:tr>
        <w:tc>
          <w:tcPr>
            <w:tcW w:type="dxa" w:w="2074"/>
            <w:vAlign w:val="top"/>
          </w:tcPr>
          <w:p>
            <w:pPr>
              <w:spacing w:after="0"/>
            </w:pPr>
            <w:r/>
            <w:r>
              <w:rPr>
                <w:b w:val="0"/>
              </w:rPr>
              <w:t>cfe_acuerdos_scraper.py</w:t>
            </w:r>
          </w:p>
        </w:tc>
        <w:tc>
          <w:tcPr>
            <w:tcW w:type="dxa" w:w="2074"/>
            <w:vAlign w:val="top"/>
          </w:tcPr>
          <w:p>
            <w:pPr>
              <w:spacing w:after="0"/>
            </w:pPr>
            <w:r/>
            <w:r>
              <w:rPr>
                <w:b w:val="0"/>
              </w:rPr>
              <w:t>CFE acuerdos industria page</w:t>
            </w:r>
          </w:p>
        </w:tc>
        <w:tc>
          <w:tcPr>
            <w:tcW w:type="dxa" w:w="2074"/>
            <w:vAlign w:val="top"/>
          </w:tcPr>
          <w:p>
            <w:pPr>
              <w:spacing w:after="0"/>
            </w:pPr>
            <w:r/>
            <w:r>
              <w:rPr>
                <w:b w:val="0"/>
              </w:rPr>
              <w:t>Monthly</w:t>
            </w:r>
          </w:p>
        </w:tc>
        <w:tc>
          <w:tcPr>
            <w:tcW w:type="dxa" w:w="2074"/>
            <w:vAlign w:val="top"/>
          </w:tcPr>
          <w:p>
            <w:pPr>
              <w:spacing w:after="0"/>
            </w:pPr>
            <w:r/>
            <w:r>
              <w:rPr>
                <w:b w:val="0"/>
              </w:rPr>
              <w:t>raw PDF/HTML links + metadata</w:t>
            </w:r>
          </w:p>
        </w:tc>
        <w:tc>
          <w:tcPr>
            <w:tcW w:type="dxa" w:w="2074"/>
            <w:vAlign w:val="top"/>
          </w:tcPr>
          <w:p>
            <w:pPr>
              <w:spacing w:after="0"/>
            </w:pPr>
            <w:r/>
            <w:r>
              <w:rPr>
                <w:b w:val="0"/>
              </w:rPr>
              <w:t>Discover official monthly CNE/CFE tariff documents and regulated tariff notices.</w:t>
            </w:r>
          </w:p>
        </w:tc>
      </w:tr>
      <w:tr>
        <w:tc>
          <w:tcPr>
            <w:tcW w:type="dxa" w:w="2074"/>
            <w:vAlign w:val="top"/>
          </w:tcPr>
          <w:p>
            <w:pPr>
              <w:spacing w:after="0"/>
            </w:pPr>
            <w:r/>
            <w:r>
              <w:rPr>
                <w:b w:val="0"/>
              </w:rPr>
              <w:t>cne_monthly_tfsb_scraper.py</w:t>
            </w:r>
          </w:p>
        </w:tc>
        <w:tc>
          <w:tcPr>
            <w:tcW w:type="dxa" w:w="2074"/>
            <w:vAlign w:val="top"/>
          </w:tcPr>
          <w:p>
            <w:pPr>
              <w:spacing w:after="0"/>
            </w:pPr>
            <w:r/>
            <w:r>
              <w:rPr>
                <w:b w:val="0"/>
              </w:rPr>
              <w:t>CNE/CFE monthly TFSB PDFs</w:t>
            </w:r>
          </w:p>
        </w:tc>
        <w:tc>
          <w:tcPr>
            <w:tcW w:type="dxa" w:w="2074"/>
            <w:vAlign w:val="top"/>
          </w:tcPr>
          <w:p>
            <w:pPr>
              <w:spacing w:after="0"/>
            </w:pPr>
            <w:r/>
            <w:r>
              <w:rPr>
                <w:b w:val="0"/>
              </w:rPr>
              <w:t>Monthly</w:t>
            </w:r>
          </w:p>
        </w:tc>
        <w:tc>
          <w:tcPr>
            <w:tcW w:type="dxa" w:w="2074"/>
            <w:vAlign w:val="top"/>
          </w:tcPr>
          <w:p>
            <w:pPr>
              <w:spacing w:after="0"/>
            </w:pPr>
            <w:r/>
            <w:r>
              <w:rPr>
                <w:b w:val="0"/>
              </w:rPr>
              <w:t>component tariff table by division/tariff</w:t>
            </w:r>
          </w:p>
        </w:tc>
        <w:tc>
          <w:tcPr>
            <w:tcW w:type="dxa" w:w="2074"/>
            <w:vAlign w:val="top"/>
          </w:tcPr>
          <w:p>
            <w:pPr>
              <w:spacing w:after="0"/>
            </w:pPr>
            <w:r/>
            <w:r>
              <w:rPr>
                <w:b w:val="0"/>
              </w:rPr>
              <w:t>Download PDFs; parse annex tables. Use OCR fallback only when embedded text unavailable.</w:t>
            </w:r>
          </w:p>
        </w:tc>
      </w:tr>
      <w:tr>
        <w:tc>
          <w:tcPr>
            <w:tcW w:type="dxa" w:w="2074"/>
            <w:vAlign w:val="top"/>
          </w:tcPr>
          <w:p>
            <w:pPr>
              <w:spacing w:after="0"/>
            </w:pPr>
            <w:r/>
            <w:r>
              <w:rPr>
                <w:b w:val="0"/>
              </w:rPr>
              <w:t>banxico_fx_scraper.py</w:t>
            </w:r>
          </w:p>
        </w:tc>
        <w:tc>
          <w:tcPr>
            <w:tcW w:type="dxa" w:w="2074"/>
            <w:vAlign w:val="top"/>
          </w:tcPr>
          <w:p>
            <w:pPr>
              <w:spacing w:after="0"/>
            </w:pPr>
            <w:r/>
            <w:r>
              <w:rPr>
                <w:b w:val="0"/>
              </w:rPr>
              <w:t>Banxico FIX/SIE API</w:t>
            </w:r>
          </w:p>
        </w:tc>
        <w:tc>
          <w:tcPr>
            <w:tcW w:type="dxa" w:w="2074"/>
            <w:vAlign w:val="top"/>
          </w:tcPr>
          <w:p>
            <w:pPr>
              <w:spacing w:after="0"/>
            </w:pPr>
            <w:r/>
            <w:r>
              <w:rPr>
                <w:b w:val="0"/>
              </w:rPr>
              <w:t>Daily/business days</w:t>
            </w:r>
          </w:p>
        </w:tc>
        <w:tc>
          <w:tcPr>
            <w:tcW w:type="dxa" w:w="2074"/>
            <w:vAlign w:val="top"/>
          </w:tcPr>
          <w:p>
            <w:pPr>
              <w:spacing w:after="0"/>
            </w:pPr>
            <w:r/>
            <w:r>
              <w:rPr>
                <w:b w:val="0"/>
              </w:rPr>
              <w:t>fx_mxn_usd.csv</w:t>
            </w:r>
          </w:p>
        </w:tc>
        <w:tc>
          <w:tcPr>
            <w:tcW w:type="dxa" w:w="2074"/>
            <w:vAlign w:val="top"/>
          </w:tcPr>
          <w:p>
            <w:pPr>
              <w:spacing w:after="0"/>
            </w:pPr>
            <w:r/>
            <w:r>
              <w:rPr>
                <w:b w:val="0"/>
              </w:rPr>
              <w:t>Use Banxico API token if configured; otherwise manual CSV upload fallback.</w:t>
            </w:r>
          </w:p>
        </w:tc>
      </w:tr>
      <w:tr>
        <w:tc>
          <w:tcPr>
            <w:tcW w:type="dxa" w:w="2074"/>
            <w:vAlign w:val="top"/>
          </w:tcPr>
          <w:p>
            <w:pPr>
              <w:spacing w:after="0"/>
            </w:pPr>
            <w:r/>
            <w:r>
              <w:rPr>
                <w:b w:val="0"/>
              </w:rPr>
              <w:t>holiday_scraper.py</w:t>
            </w:r>
          </w:p>
        </w:tc>
        <w:tc>
          <w:tcPr>
            <w:tcW w:type="dxa" w:w="2074"/>
            <w:vAlign w:val="top"/>
          </w:tcPr>
          <w:p>
            <w:pPr>
              <w:spacing w:after="0"/>
            </w:pPr>
            <w:r/>
            <w:r>
              <w:rPr>
                <w:b w:val="0"/>
              </w:rPr>
              <w:t>PROFEDET/LFT Article 74 static logic</w:t>
            </w:r>
          </w:p>
        </w:tc>
        <w:tc>
          <w:tcPr>
            <w:tcW w:type="dxa" w:w="2074"/>
            <w:vAlign w:val="top"/>
          </w:tcPr>
          <w:p>
            <w:pPr>
              <w:spacing w:after="0"/>
            </w:pPr>
            <w:r/>
            <w:r>
              <w:rPr>
                <w:b w:val="0"/>
              </w:rPr>
              <w:t>Annual</w:t>
            </w:r>
          </w:p>
        </w:tc>
        <w:tc>
          <w:tcPr>
            <w:tcW w:type="dxa" w:w="2074"/>
            <w:vAlign w:val="top"/>
          </w:tcPr>
          <w:p>
            <w:pPr>
              <w:spacing w:after="0"/>
            </w:pPr>
            <w:r/>
            <w:r>
              <w:rPr>
                <w:b w:val="0"/>
              </w:rPr>
              <w:t>mexico_holidays.csv</w:t>
            </w:r>
          </w:p>
        </w:tc>
        <w:tc>
          <w:tcPr>
            <w:tcW w:type="dxa" w:w="2074"/>
            <w:vAlign w:val="top"/>
          </w:tcPr>
          <w:p>
            <w:pPr>
              <w:spacing w:after="0"/>
            </w:pPr>
            <w:r/>
            <w:r>
              <w:rPr>
                <w:b w:val="0"/>
              </w:rPr>
              <w:t>Generate official rest days; exclude Article 74 IX when tariff text requires it.</w:t>
            </w:r>
          </w:p>
        </w:tc>
      </w:tr>
      <w:tr>
        <w:tc>
          <w:tcPr>
            <w:tcW w:type="dxa" w:w="2074"/>
            <w:vAlign w:val="top"/>
          </w:tcPr>
          <w:p>
            <w:pPr>
              <w:spacing w:after="0"/>
            </w:pPr>
            <w:r/>
            <w:r>
              <w:rPr>
                <w:b w:val="0"/>
              </w:rPr>
              <w:t>cenace_nodosp_scraper.py</w:t>
            </w:r>
          </w:p>
        </w:tc>
        <w:tc>
          <w:tcPr>
            <w:tcW w:type="dxa" w:w="2074"/>
            <w:vAlign w:val="top"/>
          </w:tcPr>
          <w:p>
            <w:pPr>
              <w:spacing w:after="0"/>
            </w:pPr>
            <w:r/>
            <w:r>
              <w:rPr>
                <w:b w:val="0"/>
              </w:rPr>
              <w:t>CENACE NodosP/Nodos2</w:t>
            </w:r>
          </w:p>
        </w:tc>
        <w:tc>
          <w:tcPr>
            <w:tcW w:type="dxa" w:w="2074"/>
            <w:vAlign w:val="top"/>
          </w:tcPr>
          <w:p>
            <w:pPr>
              <w:spacing w:after="0"/>
            </w:pPr>
            <w:r/>
            <w:r>
              <w:rPr>
                <w:b w:val="0"/>
              </w:rPr>
              <w:t>Monthly/quarterly</w:t>
            </w:r>
          </w:p>
        </w:tc>
        <w:tc>
          <w:tcPr>
            <w:tcW w:type="dxa" w:w="2074"/>
            <w:vAlign w:val="top"/>
          </w:tcPr>
          <w:p>
            <w:pPr>
              <w:spacing w:after="0"/>
            </w:pPr>
            <w:r/>
            <w:r>
              <w:rPr>
                <w:b w:val="0"/>
              </w:rPr>
              <w:t>nodosp_catalog.csv</w:t>
            </w:r>
          </w:p>
        </w:tc>
        <w:tc>
          <w:tcPr>
            <w:tcW w:type="dxa" w:w="2074"/>
            <w:vAlign w:val="top"/>
          </w:tcPr>
          <w:p>
            <w:pPr>
              <w:spacing w:after="0"/>
            </w:pPr>
            <w:r/>
            <w:r>
              <w:rPr>
                <w:b w:val="0"/>
              </w:rPr>
              <w:t>Optional for MEM/qualified-user scenario.</w:t>
            </w:r>
          </w:p>
        </w:tc>
      </w:tr>
      <w:tr>
        <w:tc>
          <w:tcPr>
            <w:tcW w:type="dxa" w:w="2074"/>
            <w:vAlign w:val="top"/>
          </w:tcPr>
          <w:p>
            <w:pPr>
              <w:spacing w:after="0"/>
            </w:pPr>
            <w:r/>
            <w:r>
              <w:rPr>
                <w:b w:val="0"/>
              </w:rPr>
              <w:t>cenace_pml_scraper.py</w:t>
            </w:r>
          </w:p>
        </w:tc>
        <w:tc>
          <w:tcPr>
            <w:tcW w:type="dxa" w:w="2074"/>
            <w:vAlign w:val="top"/>
          </w:tcPr>
          <w:p>
            <w:pPr>
              <w:spacing w:after="0"/>
            </w:pPr>
            <w:r/>
            <w:r>
              <w:rPr>
                <w:b w:val="0"/>
              </w:rPr>
              <w:t>CENACE Datos Abiertos / SW-PML</w:t>
            </w:r>
          </w:p>
        </w:tc>
        <w:tc>
          <w:tcPr>
            <w:tcW w:type="dxa" w:w="2074"/>
            <w:vAlign w:val="top"/>
          </w:tcPr>
          <w:p>
            <w:pPr>
              <w:spacing w:after="0"/>
            </w:pPr>
            <w:r/>
            <w:r>
              <w:rPr>
                <w:b w:val="0"/>
              </w:rPr>
              <w:t>Daily/monthly</w:t>
            </w:r>
          </w:p>
        </w:tc>
        <w:tc>
          <w:tcPr>
            <w:tcW w:type="dxa" w:w="2074"/>
            <w:vAlign w:val="top"/>
          </w:tcPr>
          <w:p>
            <w:pPr>
              <w:spacing w:after="0"/>
            </w:pPr>
            <w:r/>
            <w:r>
              <w:rPr>
                <w:b w:val="0"/>
              </w:rPr>
              <w:t>pml_mda_mtr.csv</w:t>
            </w:r>
          </w:p>
        </w:tc>
        <w:tc>
          <w:tcPr>
            <w:tcW w:type="dxa" w:w="2074"/>
            <w:vAlign w:val="top"/>
          </w:tcPr>
          <w:p>
            <w:pPr>
              <w:spacing w:after="0"/>
            </w:pPr>
            <w:r/>
            <w:r>
              <w:rPr>
                <w:b w:val="0"/>
              </w:rPr>
              <w:t>Optional only; not needed for core CFE bill savings.</w:t>
            </w:r>
          </w:p>
        </w:tc>
      </w:tr>
    </w:tbl>
    <w:p/>
    <w:p>
      <w:pPr>
        <w:pStyle w:val="Heading2"/>
      </w:pPr>
      <w:r>
        <w:t>11.1 Scraper source URLs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b/>
                <w:color w:val="FFFFFF"/>
              </w:rPr>
              <w:t>Dataset</w:t>
            </w:r>
          </w:p>
        </w:tc>
        <w:tc>
          <w:tcPr>
            <w:tcW w:type="dxa" w:w="5184"/>
            <w:vAlign w:val="top"/>
            <w:shd w:fill="1F4E79"/>
          </w:tcPr>
          <w:p>
            <w:pPr>
              <w:spacing w:after="0"/>
            </w:pPr>
            <w:r/>
            <w:r>
              <w:rPr>
                <w:b/>
                <w:color w:val="FFFFFF"/>
              </w:rPr>
              <w:t>URL</w:t>
            </w:r>
          </w:p>
        </w:tc>
      </w:tr>
      <w:tr>
        <w:tc>
          <w:tcPr>
            <w:tcW w:type="dxa" w:w="5184"/>
            <w:vAlign w:val="top"/>
          </w:tcPr>
          <w:p>
            <w:pPr>
              <w:spacing w:after="0"/>
            </w:pPr>
            <w:r/>
            <w:r>
              <w:rPr>
                <w:b w:val="0"/>
              </w:rPr>
              <w:t>CFE industrial tariffs</w:t>
            </w:r>
          </w:p>
        </w:tc>
        <w:tc>
          <w:tcPr>
            <w:tcW w:type="dxa" w:w="5184"/>
            <w:vAlign w:val="top"/>
          </w:tcPr>
          <w:p>
            <w:pPr>
              <w:spacing w:after="0"/>
            </w:pPr>
            <w:r/>
            <w:r>
              <w:rPr>
                <w:b w:val="0"/>
              </w:rPr>
              <w:t>https://app.cfe.mx/Aplicaciones/CCFE/Tarifas/TarifasCREIndustria/industria.aspx</w:t>
            </w:r>
          </w:p>
        </w:tc>
      </w:tr>
      <w:tr>
        <w:tc>
          <w:tcPr>
            <w:tcW w:type="dxa" w:w="5184"/>
            <w:vAlign w:val="top"/>
          </w:tcPr>
          <w:p>
            <w:pPr>
              <w:spacing w:after="0"/>
            </w:pPr>
            <w:r/>
            <w:r>
              <w:rPr>
                <w:b w:val="0"/>
              </w:rPr>
              <w:t>CFE industrial acuerdos</w:t>
            </w:r>
          </w:p>
        </w:tc>
        <w:tc>
          <w:tcPr>
            <w:tcW w:type="dxa" w:w="5184"/>
            <w:vAlign w:val="top"/>
          </w:tcPr>
          <w:p>
            <w:pPr>
              <w:spacing w:after="0"/>
            </w:pPr>
            <w:r/>
            <w:r>
              <w:rPr>
                <w:b w:val="0"/>
              </w:rPr>
              <w:t>https://app.cfe.mx/Aplicaciones/CCFE/Tarifas/TarifasCREIndustria/Acuerdos/AcuerdosIndustria.aspx</w:t>
            </w:r>
          </w:p>
        </w:tc>
      </w:tr>
      <w:tr>
        <w:tc>
          <w:tcPr>
            <w:tcW w:type="dxa" w:w="5184"/>
            <w:vAlign w:val="top"/>
          </w:tcPr>
          <w:p>
            <w:pPr>
              <w:spacing w:after="0"/>
            </w:pPr>
            <w:r/>
            <w:r>
              <w:rPr>
                <w:b w:val="0"/>
              </w:rPr>
              <w:t>CFE GDMTH page</w:t>
            </w:r>
          </w:p>
        </w:tc>
        <w:tc>
          <w:tcPr>
            <w:tcW w:type="dxa" w:w="5184"/>
            <w:vAlign w:val="top"/>
          </w:tcPr>
          <w:p>
            <w:pPr>
              <w:spacing w:after="0"/>
            </w:pPr>
            <w:r/>
            <w:r>
              <w:rPr>
                <w:b w:val="0"/>
              </w:rPr>
              <w:t>https://app.cfe.mx/Aplicaciones/CCFE/Tarifas/TarifasCREIndustria/Tarifas/GranDemandaMTH.aspx</w:t>
            </w:r>
          </w:p>
        </w:tc>
      </w:tr>
      <w:tr>
        <w:tc>
          <w:tcPr>
            <w:tcW w:type="dxa" w:w="5184"/>
            <w:vAlign w:val="top"/>
          </w:tcPr>
          <w:p>
            <w:pPr>
              <w:spacing w:after="0"/>
            </w:pPr>
            <w:r/>
            <w:r>
              <w:rPr>
                <w:b w:val="0"/>
              </w:rPr>
              <w:t>CFE DIST page</w:t>
            </w:r>
          </w:p>
        </w:tc>
        <w:tc>
          <w:tcPr>
            <w:tcW w:type="dxa" w:w="5184"/>
            <w:vAlign w:val="top"/>
          </w:tcPr>
          <w:p>
            <w:pPr>
              <w:spacing w:after="0"/>
            </w:pPr>
            <w:r/>
            <w:r>
              <w:rPr>
                <w:b w:val="0"/>
              </w:rPr>
              <w:t>https://app.cfe.mx/Aplicaciones/CCFE/Tarifas/TarifasCREIndustria/Tarifas/DemandaIndustrialSub.aspx</w:t>
            </w:r>
          </w:p>
        </w:tc>
      </w:tr>
      <w:tr>
        <w:tc>
          <w:tcPr>
            <w:tcW w:type="dxa" w:w="5184"/>
            <w:vAlign w:val="top"/>
          </w:tcPr>
          <w:p>
            <w:pPr>
              <w:spacing w:after="0"/>
            </w:pPr>
            <w:r/>
            <w:r>
              <w:rPr>
                <w:b w:val="0"/>
              </w:rPr>
              <w:t>CFE DIT page</w:t>
            </w:r>
          </w:p>
        </w:tc>
        <w:tc>
          <w:tcPr>
            <w:tcW w:type="dxa" w:w="5184"/>
            <w:vAlign w:val="top"/>
          </w:tcPr>
          <w:p>
            <w:pPr>
              <w:spacing w:after="0"/>
            </w:pPr>
            <w:r/>
            <w:r>
              <w:rPr>
                <w:b w:val="0"/>
              </w:rPr>
              <w:t>https://app.cfe.mx/Aplicaciones/CCFE/Tarifas/TarifasCREIndustria/Tarifas/DemandaIndustrialTran.aspx</w:t>
            </w:r>
          </w:p>
        </w:tc>
      </w:tr>
      <w:tr>
        <w:tc>
          <w:tcPr>
            <w:tcW w:type="dxa" w:w="5184"/>
            <w:vAlign w:val="top"/>
          </w:tcPr>
          <w:p>
            <w:pPr>
              <w:spacing w:after="0"/>
            </w:pPr>
            <w:r/>
            <w:r>
              <w:rPr>
                <w:b w:val="0"/>
              </w:rPr>
              <w:t>CENACE NodosP</w:t>
            </w:r>
          </w:p>
        </w:tc>
        <w:tc>
          <w:tcPr>
            <w:tcW w:type="dxa" w:w="5184"/>
            <w:vAlign w:val="top"/>
          </w:tcPr>
          <w:p>
            <w:pPr>
              <w:spacing w:after="0"/>
            </w:pPr>
            <w:r/>
            <w:r>
              <w:rPr>
                <w:b w:val="0"/>
              </w:rPr>
              <w:t>https://www.cenace.gob.mx/Paginas/SIM/NodosP.aspx</w:t>
            </w:r>
          </w:p>
        </w:tc>
      </w:tr>
      <w:tr>
        <w:tc>
          <w:tcPr>
            <w:tcW w:type="dxa" w:w="5184"/>
            <w:vAlign w:val="top"/>
          </w:tcPr>
          <w:p>
            <w:pPr>
              <w:spacing w:after="0"/>
            </w:pPr>
            <w:r/>
            <w:r>
              <w:rPr>
                <w:b w:val="0"/>
              </w:rPr>
              <w:t>CENACE Nodos2 table</w:t>
            </w:r>
          </w:p>
        </w:tc>
        <w:tc>
          <w:tcPr>
            <w:tcW w:type="dxa" w:w="5184"/>
            <w:vAlign w:val="top"/>
          </w:tcPr>
          <w:p>
            <w:pPr>
              <w:spacing w:after="0"/>
            </w:pPr>
            <w:r/>
            <w:r>
              <w:rPr>
                <w:b w:val="0"/>
              </w:rPr>
              <w:t>https://www.cenace.gob.mx/Nodos2.aspx</w:t>
            </w:r>
          </w:p>
        </w:tc>
      </w:tr>
      <w:tr>
        <w:tc>
          <w:tcPr>
            <w:tcW w:type="dxa" w:w="5184"/>
            <w:vAlign w:val="top"/>
          </w:tcPr>
          <w:p>
            <w:pPr>
              <w:spacing w:after="0"/>
            </w:pPr>
            <w:r/>
            <w:r>
              <w:rPr>
                <w:b w:val="0"/>
              </w:rPr>
              <w:t>Banxico FIX</w:t>
            </w:r>
          </w:p>
        </w:tc>
        <w:tc>
          <w:tcPr>
            <w:tcW w:type="dxa" w:w="5184"/>
            <w:vAlign w:val="top"/>
          </w:tcPr>
          <w:p>
            <w:pPr>
              <w:spacing w:after="0"/>
            </w:pPr>
            <w:r/>
            <w:r>
              <w:rPr>
                <w:b w:val="0"/>
              </w:rPr>
              <w:t>https://www.banxico.org.mx/tipcamb/tipCamMIAction.do?idioma=sp</w:t>
            </w:r>
          </w:p>
        </w:tc>
      </w:tr>
      <w:tr>
        <w:tc>
          <w:tcPr>
            <w:tcW w:type="dxa" w:w="5184"/>
            <w:vAlign w:val="top"/>
          </w:tcPr>
          <w:p>
            <w:pPr>
              <w:spacing w:after="0"/>
            </w:pPr>
            <w:r/>
            <w:r>
              <w:rPr>
                <w:b w:val="0"/>
              </w:rPr>
              <w:t>Banxico SIE API docs</w:t>
            </w:r>
          </w:p>
        </w:tc>
        <w:tc>
          <w:tcPr>
            <w:tcW w:type="dxa" w:w="5184"/>
            <w:vAlign w:val="top"/>
          </w:tcPr>
          <w:p>
            <w:pPr>
              <w:spacing w:after="0"/>
            </w:pPr>
            <w:r/>
            <w:r>
              <w:rPr>
                <w:b w:val="0"/>
              </w:rPr>
              <w:t>https://www.banxico.org.mx/SieAPIRest/service/v1/doc/series</w:t>
            </w:r>
          </w:p>
        </w:tc>
      </w:tr>
      <w:tr>
        <w:tc>
          <w:tcPr>
            <w:tcW w:type="dxa" w:w="5184"/>
            <w:vAlign w:val="top"/>
          </w:tcPr>
          <w:p>
            <w:pPr>
              <w:spacing w:after="0"/>
            </w:pPr>
            <w:r/>
            <w:r>
              <w:rPr>
                <w:b w:val="0"/>
              </w:rPr>
              <w:t>PROFEDET 2026 holidays</w:t>
            </w:r>
          </w:p>
        </w:tc>
        <w:tc>
          <w:tcPr>
            <w:tcW w:type="dxa" w:w="5184"/>
            <w:vAlign w:val="top"/>
          </w:tcPr>
          <w:p>
            <w:pPr>
              <w:spacing w:after="0"/>
            </w:pPr>
            <w:r/>
            <w:r>
              <w:rPr>
                <w:b w:val="0"/>
              </w:rPr>
              <w:t>https://www.gob.mx/profedet/articulos/sabes-cuales-son-los-dias-de-descanso-obligatorio-para-este-2026</w:t>
            </w:r>
          </w:p>
        </w:tc>
      </w:tr>
    </w:tbl>
    <w:p/>
    <w:p>
      <w:pPr>
        <w:pStyle w:val="Heading2"/>
      </w:pPr>
      <w:r>
        <w:t>11.2 Scraper pseudo-code</w:t>
      </w:r>
    </w:p>
    <w:p>
      <w:pPr>
        <w:pStyle w:val="CodeBlock"/>
      </w:pPr>
      <w:r>
        <w:rPr>
          <w:rFonts w:ascii="Courier New" w:hAnsi="Courier New" w:eastAsia="Courier New"/>
          <w:sz w:val="16"/>
        </w:rPr>
        <w:t>class TariffScraper:</w:t>
        <w:br/>
      </w:r>
      <w:r>
        <w:rPr>
          <w:rFonts w:ascii="Courier New" w:hAnsi="Courier New" w:eastAsia="Courier New"/>
          <w:sz w:val="16"/>
        </w:rPr>
        <w:t xml:space="preserve">    def fetch(self, year:int, month:int, state:str, municipality:str, tariff:str) -&gt; RawPage:</w:t>
        <w:br/>
      </w:r>
      <w:r>
        <w:rPr>
          <w:rFonts w:ascii="Courier New" w:hAnsi="Courier New" w:eastAsia="Courier New"/>
          <w:sz w:val="16"/>
        </w:rPr>
        <w:t xml:space="preserve">        # Try CFE URL with query/postback or Playwright interaction.</w:t>
        <w:br/>
      </w:r>
      <w:r>
        <w:rPr>
          <w:rFonts w:ascii="Courier New" w:hAnsi="Courier New" w:eastAsia="Courier New"/>
          <w:sz w:val="16"/>
        </w:rPr>
        <w:t xml:space="preserve">        # Save raw HTML/PDF to data/raw/tariff_documents/.</w:t>
        <w:br/>
      </w:r>
      <w:r>
        <w:rPr>
          <w:rFonts w:ascii="Courier New" w:hAnsi="Courier New" w:eastAsia="Courier New"/>
          <w:sz w:val="16"/>
        </w:rPr>
        <w:t xml:space="preserve">        pass</w:t>
        <w:br/>
      </w:r>
      <w:r>
        <w:rPr>
          <w:rFonts w:ascii="Courier New" w:hAnsi="Courier New" w:eastAsia="Courier New"/>
          <w:sz w:val="16"/>
        </w:rPr>
        <w:br/>
      </w:r>
      <w:r>
        <w:rPr>
          <w:rFonts w:ascii="Courier New" w:hAnsi="Courier New" w:eastAsia="Courier New"/>
          <w:sz w:val="16"/>
        </w:rPr>
        <w:t xml:space="preserve">    def parse(self, raw:RawPage) -&gt; pd.DataFrame:</w:t>
        <w:br/>
      </w:r>
      <w:r>
        <w:rPr>
          <w:rFonts w:ascii="Courier New" w:hAnsi="Courier New" w:eastAsia="Courier New"/>
          <w:sz w:val="16"/>
        </w:rPr>
        <w:t xml:space="preserve">        # Return normalized rows:</w:t>
        <w:br/>
      </w:r>
      <w:r>
        <w:rPr>
          <w:rFonts w:ascii="Courier New" w:hAnsi="Courier New" w:eastAsia="Courier New"/>
          <w:sz w:val="16"/>
        </w:rPr>
        <w:t xml:space="preserve">        # year, month, division, tariff, charge_component, period, unit, value_mxn</w:t>
        <w:br/>
      </w:r>
      <w:r>
        <w:rPr>
          <w:rFonts w:ascii="Courier New" w:hAnsi="Courier New" w:eastAsia="Courier New"/>
          <w:sz w:val="16"/>
        </w:rPr>
        <w:t xml:space="preserve">        pass</w:t>
        <w:br/>
      </w:r>
      <w:r>
        <w:rPr>
          <w:rFonts w:ascii="Courier New" w:hAnsi="Courier New" w:eastAsia="Courier New"/>
          <w:sz w:val="16"/>
        </w:rPr>
        <w:br/>
      </w:r>
      <w:r>
        <w:rPr>
          <w:rFonts w:ascii="Courier New" w:hAnsi="Courier New" w:eastAsia="Courier New"/>
          <w:sz w:val="16"/>
        </w:rPr>
        <w:t xml:space="preserve">    def validate(self, df:pd.DataFrame):</w:t>
        <w:br/>
      </w:r>
      <w:r>
        <w:rPr>
          <w:rFonts w:ascii="Courier New" w:hAnsi="Courier New" w:eastAsia="Courier New"/>
          <w:sz w:val="16"/>
        </w:rPr>
        <w:t xml:space="preserve">        # Ensure required charges by tariff:</w:t>
        <w:br/>
      </w:r>
      <w:r>
        <w:rPr>
          <w:rFonts w:ascii="Courier New" w:hAnsi="Courier New" w:eastAsia="Courier New"/>
          <w:sz w:val="16"/>
        </w:rPr>
        <w:t xml:space="preserve">        # GDMTH: fixed, energy base/intermedia/punta, distribution, capacity</w:t>
        <w:br/>
      </w:r>
      <w:r>
        <w:rPr>
          <w:rFonts w:ascii="Courier New" w:hAnsi="Courier New" w:eastAsia="Courier New"/>
          <w:sz w:val="16"/>
        </w:rPr>
        <w:t xml:space="preserve">        # GDMTO: fixed, energy ordinary, distribution, capacity</w:t>
        <w:br/>
      </w:r>
      <w:r>
        <w:rPr>
          <w:rFonts w:ascii="Courier New" w:hAnsi="Courier New" w:eastAsia="Courier New"/>
          <w:sz w:val="16"/>
        </w:rPr>
        <w:t xml:space="preserve">        # DIST/DIT: fixed, hourly energy periods, capacity</w:t>
        <w:br/>
      </w:r>
      <w:r>
        <w:rPr>
          <w:rFonts w:ascii="Courier New" w:hAnsi="Courier New" w:eastAsia="Courier New"/>
          <w:sz w:val="16"/>
        </w:rPr>
        <w:t xml:space="preserve">        pass</w:t>
        <w:br/>
      </w:r>
      <w:r>
        <w:rPr>
          <w:rFonts w:ascii="Courier New" w:hAnsi="Courier New" w:eastAsia="Courier New"/>
          <w:sz w:val="16"/>
        </w:rPr>
        <w:br/>
      </w:r>
      <w:r>
        <w:rPr>
          <w:rFonts w:ascii="Courier New" w:hAnsi="Courier New" w:eastAsia="Courier New"/>
          <w:sz w:val="16"/>
        </w:rPr>
        <w:t xml:space="preserve">    def persist(self, df:pd.DataFrame):</w:t>
        <w:br/>
      </w:r>
      <w:r>
        <w:rPr>
          <w:rFonts w:ascii="Courier New" w:hAnsi="Courier New" w:eastAsia="Courier New"/>
          <w:sz w:val="16"/>
        </w:rPr>
        <w:t xml:space="preserve">        df.to_parquet('data/processed/tariff_rates.parquet')</w:t>
        <w:br/>
      </w:r>
    </w:p>
    <w:p>
      <w:pPr>
        <w:pStyle w:val="Heading1"/>
      </w:pPr>
      <w:r>
        <w:t>12. Financial Model</w:t>
      </w:r>
    </w:p>
    <w:p>
      <w:pPr>
        <w:pStyle w:val="Heading2"/>
      </w:pPr>
      <w:r>
        <w:t>12.1 Inputs</w:t>
      </w:r>
    </w:p>
    <w:p>
      <w:pPr>
        <w:pStyle w:val="CodeBlock"/>
      </w:pPr>
      <w:r>
        <w:rPr>
          <w:rFonts w:ascii="Courier New" w:hAnsi="Courier New" w:eastAsia="Courier New"/>
          <w:sz w:val="16"/>
        </w:rPr>
        <w:t>bess_power_kw: float</w:t>
        <w:br/>
      </w:r>
      <w:r>
        <w:rPr>
          <w:rFonts w:ascii="Courier New" w:hAnsi="Courier New" w:eastAsia="Courier New"/>
          <w:sz w:val="16"/>
        </w:rPr>
        <w:t>bess_energy_kwh: float</w:t>
        <w:br/>
      </w:r>
      <w:r>
        <w:rPr>
          <w:rFonts w:ascii="Courier New" w:hAnsi="Courier New" w:eastAsia="Courier New"/>
          <w:sz w:val="16"/>
        </w:rPr>
        <w:t>bess_rte: 0.90</w:t>
        <w:br/>
      </w:r>
      <w:r>
        <w:rPr>
          <w:rFonts w:ascii="Courier New" w:hAnsi="Courier New" w:eastAsia="Courier New"/>
          <w:sz w:val="16"/>
        </w:rPr>
        <w:t>soc_min_pct: 0.10</w:t>
        <w:br/>
      </w:r>
      <w:r>
        <w:rPr>
          <w:rFonts w:ascii="Courier New" w:hAnsi="Courier New" w:eastAsia="Courier New"/>
          <w:sz w:val="16"/>
        </w:rPr>
        <w:t>capex_usd_per_kwh: float</w:t>
        <w:br/>
      </w:r>
      <w:r>
        <w:rPr>
          <w:rFonts w:ascii="Courier New" w:hAnsi="Courier New" w:eastAsia="Courier New"/>
          <w:sz w:val="16"/>
        </w:rPr>
        <w:t>pcs_usd_per_kw: float</w:t>
        <w:br/>
      </w:r>
      <w:r>
        <w:rPr>
          <w:rFonts w:ascii="Courier New" w:hAnsi="Courier New" w:eastAsia="Courier New"/>
          <w:sz w:val="16"/>
        </w:rPr>
        <w:t>ems_usd: float</w:t>
        <w:br/>
      </w:r>
      <w:r>
        <w:rPr>
          <w:rFonts w:ascii="Courier New" w:hAnsi="Courier New" w:eastAsia="Courier New"/>
          <w:sz w:val="16"/>
        </w:rPr>
        <w:t>installation_pct: float</w:t>
        <w:br/>
      </w:r>
      <w:r>
        <w:rPr>
          <w:rFonts w:ascii="Courier New" w:hAnsi="Courier New" w:eastAsia="Courier New"/>
          <w:sz w:val="16"/>
        </w:rPr>
        <w:t>opex_pct_capex_per_year: float</w:t>
        <w:br/>
      </w:r>
      <w:r>
        <w:rPr>
          <w:rFonts w:ascii="Courier New" w:hAnsi="Courier New" w:eastAsia="Courier New"/>
          <w:sz w:val="16"/>
        </w:rPr>
        <w:t>analysis_years: 20</w:t>
        <w:br/>
      </w:r>
      <w:r>
        <w:rPr>
          <w:rFonts w:ascii="Courier New" w:hAnsi="Courier New" w:eastAsia="Courier New"/>
          <w:sz w:val="16"/>
        </w:rPr>
        <w:t>discount_rate: float</w:t>
        <w:br/>
      </w:r>
      <w:r>
        <w:rPr>
          <w:rFonts w:ascii="Courier New" w:hAnsi="Courier New" w:eastAsia="Courier New"/>
          <w:sz w:val="16"/>
        </w:rPr>
        <w:t>fx_mxn_usd: float</w:t>
        <w:br/>
      </w:r>
      <w:r>
        <w:rPr>
          <w:rFonts w:ascii="Courier New" w:hAnsi="Courier New" w:eastAsia="Courier New"/>
          <w:sz w:val="16"/>
        </w:rPr>
        <w:t>tariff_escalation_pct: float</w:t>
        <w:br/>
      </w:r>
      <w:r>
        <w:rPr>
          <w:rFonts w:ascii="Courier New" w:hAnsi="Courier New" w:eastAsia="Courier New"/>
          <w:sz w:val="16"/>
        </w:rPr>
        <w:t>load_growth_pct: float</w:t>
        <w:br/>
      </w:r>
      <w:r>
        <w:rPr>
          <w:rFonts w:ascii="Courier New" w:hAnsi="Courier New" w:eastAsia="Courier New"/>
          <w:sz w:val="16"/>
        </w:rPr>
        <w:t>degradation_pct_per_year: float</w:t>
        <w:br/>
      </w:r>
      <w:r>
        <w:rPr>
          <w:rFonts w:ascii="Courier New" w:hAnsi="Courier New" w:eastAsia="Courier New"/>
          <w:sz w:val="16"/>
        </w:rPr>
        <w:t>augmentation_year: optional int</w:t>
        <w:br/>
      </w:r>
      <w:r>
        <w:rPr>
          <w:rFonts w:ascii="Courier New" w:hAnsi="Courier New" w:eastAsia="Courier New"/>
          <w:sz w:val="16"/>
        </w:rPr>
        <w:t>augmentation_cost_pct_initial_capex: optional float</w:t>
        <w:br/>
      </w:r>
    </w:p>
    <w:p>
      <w:pPr>
        <w:pStyle w:val="Heading2"/>
      </w:pPr>
      <w:r>
        <w:t>12.2 Outputs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b/>
                <w:color w:val="FFFFFF"/>
              </w:rPr>
              <w:t>Output</w:t>
            </w:r>
          </w:p>
        </w:tc>
        <w:tc>
          <w:tcPr>
            <w:tcW w:type="dxa" w:w="5184"/>
            <w:vAlign w:val="top"/>
            <w:shd w:fill="1F4E79"/>
          </w:tcPr>
          <w:p>
            <w:pPr>
              <w:spacing w:after="0"/>
            </w:pPr>
            <w:r/>
            <w:r>
              <w:rPr>
                <w:b/>
                <w:color w:val="FFFFFF"/>
              </w:rPr>
              <w:t>Description</w:t>
            </w:r>
          </w:p>
        </w:tc>
      </w:tr>
      <w:tr>
        <w:tc>
          <w:tcPr>
            <w:tcW w:type="dxa" w:w="5184"/>
            <w:vAlign w:val="top"/>
          </w:tcPr>
          <w:p>
            <w:pPr>
              <w:spacing w:after="0"/>
            </w:pPr>
            <w:r/>
            <w:r>
              <w:rPr>
                <w:b w:val="0"/>
              </w:rPr>
              <w:t>Annual savings MXN/USD</w:t>
            </w:r>
          </w:p>
        </w:tc>
        <w:tc>
          <w:tcPr>
            <w:tcW w:type="dxa" w:w="5184"/>
            <w:vAlign w:val="top"/>
          </w:tcPr>
          <w:p>
            <w:pPr>
              <w:spacing w:after="0"/>
            </w:pPr>
            <w:r/>
            <w:r>
              <w:rPr>
                <w:b w:val="0"/>
              </w:rPr>
              <w:t>Difference between baseline bill and optimized bill.</w:t>
            </w:r>
          </w:p>
        </w:tc>
      </w:tr>
      <w:tr>
        <w:tc>
          <w:tcPr>
            <w:tcW w:type="dxa" w:w="5184"/>
            <w:vAlign w:val="top"/>
          </w:tcPr>
          <w:p>
            <w:pPr>
              <w:spacing w:after="0"/>
            </w:pPr>
            <w:r/>
            <w:r>
              <w:rPr>
                <w:b w:val="0"/>
              </w:rPr>
              <w:t>Savings by component</w:t>
            </w:r>
          </w:p>
        </w:tc>
        <w:tc>
          <w:tcPr>
            <w:tcW w:type="dxa" w:w="5184"/>
            <w:vAlign w:val="top"/>
          </w:tcPr>
          <w:p>
            <w:pPr>
              <w:spacing w:after="0"/>
            </w:pPr>
            <w:r/>
            <w:r>
              <w:rPr>
                <w:b w:val="0"/>
              </w:rPr>
              <w:t>Energy, capacity, distribution, PV curtailment avoided, power factor if available.</w:t>
            </w:r>
          </w:p>
        </w:tc>
      </w:tr>
      <w:tr>
        <w:tc>
          <w:tcPr>
            <w:tcW w:type="dxa" w:w="5184"/>
            <w:vAlign w:val="top"/>
          </w:tcPr>
          <w:p>
            <w:pPr>
              <w:spacing w:after="0"/>
            </w:pPr>
            <w:r/>
            <w:r>
              <w:rPr>
                <w:b w:val="0"/>
              </w:rPr>
              <w:t>NPV, IRR, payback</w:t>
            </w:r>
          </w:p>
        </w:tc>
        <w:tc>
          <w:tcPr>
            <w:tcW w:type="dxa" w:w="5184"/>
            <w:vAlign w:val="top"/>
          </w:tcPr>
          <w:p>
            <w:pPr>
              <w:spacing w:after="0"/>
            </w:pPr>
            <w:r/>
            <w:r>
              <w:rPr>
                <w:b w:val="0"/>
              </w:rPr>
              <w:t>Investor metrics using MXN or USD reporting currency.</w:t>
            </w:r>
          </w:p>
        </w:tc>
      </w:tr>
      <w:tr>
        <w:tc>
          <w:tcPr>
            <w:tcW w:type="dxa" w:w="5184"/>
            <w:vAlign w:val="top"/>
          </w:tcPr>
          <w:p>
            <w:pPr>
              <w:spacing w:after="0"/>
            </w:pPr>
            <w:r/>
            <w:r>
              <w:rPr>
                <w:b w:val="0"/>
              </w:rPr>
              <w:t>Sensitivity</w:t>
            </w:r>
          </w:p>
        </w:tc>
        <w:tc>
          <w:tcPr>
            <w:tcW w:type="dxa" w:w="5184"/>
            <w:vAlign w:val="top"/>
          </w:tcPr>
          <w:p>
            <w:pPr>
              <w:spacing w:after="0"/>
            </w:pPr>
            <w:r/>
            <w:r>
              <w:rPr>
                <w:b w:val="0"/>
              </w:rPr>
              <w:t>BESS capex, tariff escalation, degradation, load growth, FX.</w:t>
            </w:r>
          </w:p>
        </w:tc>
      </w:tr>
    </w:tbl>
    <w:p/>
    <w:p>
      <w:pPr>
        <w:pStyle w:val="Heading1"/>
      </w:pPr>
      <w:r>
        <w:t>13. User Interface Screens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b/>
                <w:color w:val="FFFFFF"/>
              </w:rPr>
              <w:t>Screen</w:t>
            </w:r>
          </w:p>
        </w:tc>
        <w:tc>
          <w:tcPr>
            <w:tcW w:type="dxa" w:w="5184"/>
            <w:vAlign w:val="top"/>
            <w:shd w:fill="1F4E79"/>
          </w:tcPr>
          <w:p>
            <w:pPr>
              <w:spacing w:after="0"/>
            </w:pPr>
            <w:r/>
            <w:r>
              <w:rPr>
                <w:b/>
                <w:color w:val="FFFFFF"/>
              </w:rPr>
              <w:t>Fields / widgets</w:t>
            </w:r>
          </w:p>
        </w:tc>
      </w:tr>
      <w:tr>
        <w:tc>
          <w:tcPr>
            <w:tcW w:type="dxa" w:w="5184"/>
            <w:vAlign w:val="top"/>
          </w:tcPr>
          <w:p>
            <w:pPr>
              <w:spacing w:after="0"/>
            </w:pPr>
            <w:r/>
            <w:r>
              <w:rPr>
                <w:b w:val="0"/>
              </w:rPr>
              <w:t>1. Customer setup</w:t>
            </w:r>
          </w:p>
        </w:tc>
        <w:tc>
          <w:tcPr>
            <w:tcW w:type="dxa" w:w="5184"/>
            <w:vAlign w:val="top"/>
          </w:tcPr>
          <w:p>
            <w:pPr>
              <w:spacing w:after="0"/>
            </w:pPr>
            <w:r/>
            <w:r>
              <w:rPr>
                <w:b w:val="0"/>
              </w:rPr>
              <w:t>Customer name, division, tariff, voltage, contracted demand, connected load, largest motor, substation kVA.</w:t>
            </w:r>
          </w:p>
        </w:tc>
      </w:tr>
      <w:tr>
        <w:tc>
          <w:tcPr>
            <w:tcW w:type="dxa" w:w="5184"/>
            <w:vAlign w:val="top"/>
          </w:tcPr>
          <w:p>
            <w:pPr>
              <w:spacing w:after="0"/>
            </w:pPr>
            <w:r/>
            <w:r>
              <w:rPr>
                <w:b w:val="0"/>
              </w:rPr>
              <w:t>2. Uploads</w:t>
            </w:r>
          </w:p>
        </w:tc>
        <w:tc>
          <w:tcPr>
            <w:tcW w:type="dxa" w:w="5184"/>
            <w:vAlign w:val="top"/>
          </w:tcPr>
          <w:p>
            <w:pPr>
              <w:spacing w:after="0"/>
            </w:pPr>
            <w:r/>
            <w:r>
              <w:rPr>
                <w:b w:val="0"/>
              </w:rPr>
              <w:t>CFE bills, 15-minute meter data, PV profile, manual tariff files.</w:t>
            </w:r>
          </w:p>
        </w:tc>
      </w:tr>
      <w:tr>
        <w:tc>
          <w:tcPr>
            <w:tcW w:type="dxa" w:w="5184"/>
            <w:vAlign w:val="top"/>
          </w:tcPr>
          <w:p>
            <w:pPr>
              <w:spacing w:after="0"/>
            </w:pPr>
            <w:r/>
            <w:r>
              <w:rPr>
                <w:b w:val="0"/>
              </w:rPr>
              <w:t>3. Baseline bill</w:t>
            </w:r>
          </w:p>
        </w:tc>
        <w:tc>
          <w:tcPr>
            <w:tcW w:type="dxa" w:w="5184"/>
            <w:vAlign w:val="top"/>
          </w:tcPr>
          <w:p>
            <w:pPr>
              <w:spacing w:after="0"/>
            </w:pPr>
            <w:r/>
            <w:r>
              <w:rPr>
                <w:b w:val="0"/>
              </w:rPr>
              <w:t>Reconstructed bill, invoice comparison, energy by period, demand peaks.</w:t>
            </w:r>
          </w:p>
        </w:tc>
      </w:tr>
      <w:tr>
        <w:tc>
          <w:tcPr>
            <w:tcW w:type="dxa" w:w="5184"/>
            <w:vAlign w:val="top"/>
          </w:tcPr>
          <w:p>
            <w:pPr>
              <w:spacing w:after="0"/>
            </w:pPr>
            <w:r/>
            <w:r>
              <w:rPr>
                <w:b w:val="0"/>
              </w:rPr>
              <w:t>4. BESS sizing</w:t>
            </w:r>
          </w:p>
        </w:tc>
        <w:tc>
          <w:tcPr>
            <w:tcW w:type="dxa" w:w="5184"/>
            <w:vAlign w:val="top"/>
          </w:tcPr>
          <w:p>
            <w:pPr>
              <w:spacing w:after="0"/>
            </w:pPr>
            <w:r/>
            <w:r>
              <w:rPr>
                <w:b w:val="0"/>
              </w:rPr>
              <w:t>BESS kW/kWh, RTE, SOC reserve, grid charging, no-export, backup reserve.</w:t>
            </w:r>
          </w:p>
        </w:tc>
      </w:tr>
      <w:tr>
        <w:tc>
          <w:tcPr>
            <w:tcW w:type="dxa" w:w="5184"/>
            <w:vAlign w:val="top"/>
          </w:tcPr>
          <w:p>
            <w:pPr>
              <w:spacing w:after="0"/>
            </w:pPr>
            <w:r/>
            <w:r>
              <w:rPr>
                <w:b w:val="0"/>
              </w:rPr>
              <w:t>5. Optimization results</w:t>
            </w:r>
          </w:p>
        </w:tc>
        <w:tc>
          <w:tcPr>
            <w:tcW w:type="dxa" w:w="5184"/>
            <w:vAlign w:val="top"/>
          </w:tcPr>
          <w:p>
            <w:pPr>
              <w:spacing w:after="0"/>
            </w:pPr>
            <w:r/>
            <w:r>
              <w:rPr>
                <w:b w:val="0"/>
              </w:rPr>
              <w:t>Before/after bill, SOC chart, grid import before/after, peak reduction, savings attribution.</w:t>
            </w:r>
          </w:p>
        </w:tc>
      </w:tr>
      <w:tr>
        <w:tc>
          <w:tcPr>
            <w:tcW w:type="dxa" w:w="5184"/>
            <w:vAlign w:val="top"/>
          </w:tcPr>
          <w:p>
            <w:pPr>
              <w:spacing w:after="0"/>
            </w:pPr>
            <w:r/>
            <w:r>
              <w:rPr>
                <w:b w:val="0"/>
              </w:rPr>
              <w:t>6. Finance</w:t>
            </w:r>
          </w:p>
        </w:tc>
        <w:tc>
          <w:tcPr>
            <w:tcW w:type="dxa" w:w="5184"/>
            <w:vAlign w:val="top"/>
          </w:tcPr>
          <w:p>
            <w:pPr>
              <w:spacing w:after="0"/>
            </w:pPr>
            <w:r/>
            <w:r>
              <w:rPr>
                <w:b w:val="0"/>
              </w:rPr>
              <w:t>CAPEX, OPEX, IRR, NPV, payback, sensitivity.</w:t>
            </w:r>
          </w:p>
        </w:tc>
      </w:tr>
      <w:tr>
        <w:tc>
          <w:tcPr>
            <w:tcW w:type="dxa" w:w="5184"/>
            <w:vAlign w:val="top"/>
          </w:tcPr>
          <w:p>
            <w:pPr>
              <w:spacing w:after="0"/>
            </w:pPr>
            <w:r/>
            <w:r>
              <w:rPr>
                <w:b w:val="0"/>
              </w:rPr>
              <w:t>7. Scraper/admin</w:t>
            </w:r>
          </w:p>
        </w:tc>
        <w:tc>
          <w:tcPr>
            <w:tcW w:type="dxa" w:w="5184"/>
            <w:vAlign w:val="top"/>
          </w:tcPr>
          <w:p>
            <w:pPr>
              <w:spacing w:after="0"/>
            </w:pPr>
            <w:r/>
            <w:r>
              <w:rPr>
                <w:b w:val="0"/>
              </w:rPr>
              <w:t>Refresh tariffs, inspect scraper logs, choose manual fallback files.</w:t>
            </w:r>
          </w:p>
        </w:tc>
      </w:tr>
    </w:tbl>
    <w:p/>
    <w:p>
      <w:pPr>
        <w:pStyle w:val="Heading1"/>
      </w:pPr>
      <w:r>
        <w:t>14. Database Schema</w:t>
      </w:r>
    </w:p>
    <w:p>
      <w:pPr>
        <w:pStyle w:val="CodeBlock"/>
      </w:pPr>
      <w:r>
        <w:rPr>
          <w:rFonts w:ascii="Courier New" w:hAnsi="Courier New" w:eastAsia="Courier New"/>
          <w:sz w:val="16"/>
        </w:rPr>
        <w:t>CREATE TABLE tariff_rates (</w:t>
        <w:br/>
      </w:r>
      <w:r>
        <w:rPr>
          <w:rFonts w:ascii="Courier New" w:hAnsi="Courier New" w:eastAsia="Courier New"/>
          <w:sz w:val="16"/>
        </w:rPr>
        <w:t xml:space="preserve">  id INTEGER PRIMARY KEY,</w:t>
        <w:br/>
      </w:r>
      <w:r>
        <w:rPr>
          <w:rFonts w:ascii="Courier New" w:hAnsi="Courier New" w:eastAsia="Courier New"/>
          <w:sz w:val="16"/>
        </w:rPr>
        <w:t xml:space="preserve">  year INTEGER,</w:t>
        <w:br/>
      </w:r>
      <w:r>
        <w:rPr>
          <w:rFonts w:ascii="Courier New" w:hAnsi="Courier New" w:eastAsia="Courier New"/>
          <w:sz w:val="16"/>
        </w:rPr>
        <w:t xml:space="preserve">  month INTEGER,</w:t>
        <w:br/>
      </w:r>
      <w:r>
        <w:rPr>
          <w:rFonts w:ascii="Courier New" w:hAnsi="Courier New" w:eastAsia="Courier New"/>
          <w:sz w:val="16"/>
        </w:rPr>
        <w:t xml:space="preserve">  division TEXT,</w:t>
        <w:br/>
      </w:r>
      <w:r>
        <w:rPr>
          <w:rFonts w:ascii="Courier New" w:hAnsi="Courier New" w:eastAsia="Courier New"/>
          <w:sz w:val="16"/>
        </w:rPr>
        <w:t xml:space="preserve">  tariff TEXT,</w:t>
        <w:br/>
      </w:r>
      <w:r>
        <w:rPr>
          <w:rFonts w:ascii="Courier New" w:hAnsi="Courier New" w:eastAsia="Courier New"/>
          <w:sz w:val="16"/>
        </w:rPr>
        <w:t xml:space="preserve">  charge_component TEXT,</w:t>
        <w:br/>
      </w:r>
      <w:r>
        <w:rPr>
          <w:rFonts w:ascii="Courier New" w:hAnsi="Courier New" w:eastAsia="Courier New"/>
          <w:sz w:val="16"/>
        </w:rPr>
        <w:t xml:space="preserve">  period TEXT,</w:t>
        <w:br/>
      </w:r>
      <w:r>
        <w:rPr>
          <w:rFonts w:ascii="Courier New" w:hAnsi="Courier New" w:eastAsia="Courier New"/>
          <w:sz w:val="16"/>
        </w:rPr>
        <w:t xml:space="preserve">  unit TEXT,</w:t>
        <w:br/>
      </w:r>
      <w:r>
        <w:rPr>
          <w:rFonts w:ascii="Courier New" w:hAnsi="Courier New" w:eastAsia="Courier New"/>
          <w:sz w:val="16"/>
        </w:rPr>
        <w:t xml:space="preserve">  value_mxn REAL,</w:t>
        <w:br/>
      </w:r>
      <w:r>
        <w:rPr>
          <w:rFonts w:ascii="Courier New" w:hAnsi="Courier New" w:eastAsia="Courier New"/>
          <w:sz w:val="16"/>
        </w:rPr>
        <w:t xml:space="preserve">  source_url TEXT,</w:t>
        <w:br/>
      </w:r>
      <w:r>
        <w:rPr>
          <w:rFonts w:ascii="Courier New" w:hAnsi="Courier New" w:eastAsia="Courier New"/>
          <w:sz w:val="16"/>
        </w:rPr>
        <w:t xml:space="preserve">  source_file TEXT,</w:t>
        <w:br/>
      </w:r>
      <w:r>
        <w:rPr>
          <w:rFonts w:ascii="Courier New" w:hAnsi="Courier New" w:eastAsia="Courier New"/>
          <w:sz w:val="16"/>
        </w:rPr>
        <w:t xml:space="preserve">  created_at TIMESTAMP</w:t>
        <w:br/>
      </w:r>
      <w:r>
        <w:rPr>
          <w:rFonts w:ascii="Courier New" w:hAnsi="Courier New" w:eastAsia="Courier New"/>
          <w:sz w:val="16"/>
        </w:rPr>
        <w:t>);</w:t>
        <w:br/>
      </w:r>
      <w:r>
        <w:rPr>
          <w:rFonts w:ascii="Courier New" w:hAnsi="Courier New" w:eastAsia="Courier New"/>
          <w:sz w:val="16"/>
        </w:rPr>
        <w:br/>
      </w:r>
      <w:r>
        <w:rPr>
          <w:rFonts w:ascii="Courier New" w:hAnsi="Courier New" w:eastAsia="Courier New"/>
          <w:sz w:val="16"/>
        </w:rPr>
        <w:t>CREATE TABLE tariff_periods (</w:t>
        <w:br/>
      </w:r>
      <w:r>
        <w:rPr>
          <w:rFonts w:ascii="Courier New" w:hAnsi="Courier New" w:eastAsia="Courier New"/>
          <w:sz w:val="16"/>
        </w:rPr>
        <w:t xml:space="preserve">  id INTEGER PRIMARY KEY,</w:t>
        <w:br/>
      </w:r>
      <w:r>
        <w:rPr>
          <w:rFonts w:ascii="Courier New" w:hAnsi="Courier New" w:eastAsia="Courier New"/>
          <w:sz w:val="16"/>
        </w:rPr>
        <w:t xml:space="preserve">  tariff TEXT,</w:t>
        <w:br/>
      </w:r>
      <w:r>
        <w:rPr>
          <w:rFonts w:ascii="Courier New" w:hAnsi="Courier New" w:eastAsia="Courier New"/>
          <w:sz w:val="16"/>
        </w:rPr>
        <w:t xml:space="preserve">  system TEXT,</w:t>
        <w:br/>
      </w:r>
      <w:r>
        <w:rPr>
          <w:rFonts w:ascii="Courier New" w:hAnsi="Courier New" w:eastAsia="Courier New"/>
          <w:sz w:val="16"/>
        </w:rPr>
        <w:t xml:space="preserve">  season TEXT,</w:t>
        <w:br/>
      </w:r>
      <w:r>
        <w:rPr>
          <w:rFonts w:ascii="Courier New" w:hAnsi="Courier New" w:eastAsia="Courier New"/>
          <w:sz w:val="16"/>
        </w:rPr>
        <w:t xml:space="preserve">  day_type TEXT,</w:t>
        <w:br/>
      </w:r>
      <w:r>
        <w:rPr>
          <w:rFonts w:ascii="Courier New" w:hAnsi="Courier New" w:eastAsia="Courier New"/>
          <w:sz w:val="16"/>
        </w:rPr>
        <w:t xml:space="preserve">  period TEXT,</w:t>
        <w:br/>
      </w:r>
      <w:r>
        <w:rPr>
          <w:rFonts w:ascii="Courier New" w:hAnsi="Courier New" w:eastAsia="Courier New"/>
          <w:sz w:val="16"/>
        </w:rPr>
        <w:t xml:space="preserve">  start_time TEXT,</w:t>
        <w:br/>
      </w:r>
      <w:r>
        <w:rPr>
          <w:rFonts w:ascii="Courier New" w:hAnsi="Courier New" w:eastAsia="Courier New"/>
          <w:sz w:val="16"/>
        </w:rPr>
        <w:t xml:space="preserve">  end_time TEXT,</w:t>
        <w:br/>
      </w:r>
      <w:r>
        <w:rPr>
          <w:rFonts w:ascii="Courier New" w:hAnsi="Courier New" w:eastAsia="Courier New"/>
          <w:sz w:val="16"/>
        </w:rPr>
        <w:t xml:space="preserve">  source TEXT</w:t>
        <w:br/>
      </w:r>
      <w:r>
        <w:rPr>
          <w:rFonts w:ascii="Courier New" w:hAnsi="Courier New" w:eastAsia="Courier New"/>
          <w:sz w:val="16"/>
        </w:rPr>
        <w:t>);</w:t>
        <w:br/>
      </w:r>
      <w:r>
        <w:rPr>
          <w:rFonts w:ascii="Courier New" w:hAnsi="Courier New" w:eastAsia="Courier New"/>
          <w:sz w:val="16"/>
        </w:rPr>
        <w:br/>
      </w:r>
      <w:r>
        <w:rPr>
          <w:rFonts w:ascii="Courier New" w:hAnsi="Courier New" w:eastAsia="Courier New"/>
          <w:sz w:val="16"/>
        </w:rPr>
        <w:t>CREATE TABLE customer_meter_data (</w:t>
        <w:br/>
      </w:r>
      <w:r>
        <w:rPr>
          <w:rFonts w:ascii="Courier New" w:hAnsi="Courier New" w:eastAsia="Courier New"/>
          <w:sz w:val="16"/>
        </w:rPr>
        <w:t xml:space="preserve">  id INTEGER PRIMARY KEY,</w:t>
        <w:br/>
      </w:r>
      <w:r>
        <w:rPr>
          <w:rFonts w:ascii="Courier New" w:hAnsi="Courier New" w:eastAsia="Courier New"/>
          <w:sz w:val="16"/>
        </w:rPr>
        <w:t xml:space="preserve">  customer_id TEXT,</w:t>
        <w:br/>
      </w:r>
      <w:r>
        <w:rPr>
          <w:rFonts w:ascii="Courier New" w:hAnsi="Courier New" w:eastAsia="Courier New"/>
          <w:sz w:val="16"/>
        </w:rPr>
        <w:t xml:space="preserve">  timestamp TIMESTAMP,</w:t>
        <w:br/>
      </w:r>
      <w:r>
        <w:rPr>
          <w:rFonts w:ascii="Courier New" w:hAnsi="Courier New" w:eastAsia="Courier New"/>
          <w:sz w:val="16"/>
        </w:rPr>
        <w:t xml:space="preserve">  load_kw REAL,</w:t>
        <w:br/>
      </w:r>
      <w:r>
        <w:rPr>
          <w:rFonts w:ascii="Courier New" w:hAnsi="Courier New" w:eastAsia="Courier New"/>
          <w:sz w:val="16"/>
        </w:rPr>
        <w:t xml:space="preserve">  pv_kw REAL,</w:t>
        <w:br/>
      </w:r>
      <w:r>
        <w:rPr>
          <w:rFonts w:ascii="Courier New" w:hAnsi="Courier New" w:eastAsia="Courier New"/>
          <w:sz w:val="16"/>
        </w:rPr>
        <w:t xml:space="preserve">  grid_import_kw REAL,</w:t>
        <w:br/>
      </w:r>
      <w:r>
        <w:rPr>
          <w:rFonts w:ascii="Courier New" w:hAnsi="Courier New" w:eastAsia="Courier New"/>
          <w:sz w:val="16"/>
        </w:rPr>
        <w:t xml:space="preserve">  grid_export_kw REAL,</w:t>
        <w:br/>
      </w:r>
      <w:r>
        <w:rPr>
          <w:rFonts w:ascii="Courier New" w:hAnsi="Courier New" w:eastAsia="Courier New"/>
          <w:sz w:val="16"/>
        </w:rPr>
        <w:t xml:space="preserve">  power_factor REAL</w:t>
        <w:br/>
      </w:r>
      <w:r>
        <w:rPr>
          <w:rFonts w:ascii="Courier New" w:hAnsi="Courier New" w:eastAsia="Courier New"/>
          <w:sz w:val="16"/>
        </w:rPr>
        <w:t>);</w:t>
        <w:br/>
      </w:r>
      <w:r>
        <w:rPr>
          <w:rFonts w:ascii="Courier New" w:hAnsi="Courier New" w:eastAsia="Courier New"/>
          <w:sz w:val="16"/>
        </w:rPr>
        <w:br/>
      </w:r>
      <w:r>
        <w:rPr>
          <w:rFonts w:ascii="Courier New" w:hAnsi="Courier New" w:eastAsia="Courier New"/>
          <w:sz w:val="16"/>
        </w:rPr>
        <w:t>CREATE TABLE dispatch_results (</w:t>
        <w:br/>
      </w:r>
      <w:r>
        <w:rPr>
          <w:rFonts w:ascii="Courier New" w:hAnsi="Courier New" w:eastAsia="Courier New"/>
          <w:sz w:val="16"/>
        </w:rPr>
        <w:t xml:space="preserve">  id INTEGER PRIMARY KEY,</w:t>
        <w:br/>
      </w:r>
      <w:r>
        <w:rPr>
          <w:rFonts w:ascii="Courier New" w:hAnsi="Courier New" w:eastAsia="Courier New"/>
          <w:sz w:val="16"/>
        </w:rPr>
        <w:t xml:space="preserve">  scenario_id TEXT,</w:t>
        <w:br/>
      </w:r>
      <w:r>
        <w:rPr>
          <w:rFonts w:ascii="Courier New" w:hAnsi="Courier New" w:eastAsia="Courier New"/>
          <w:sz w:val="16"/>
        </w:rPr>
        <w:t xml:space="preserve">  timestamp TIMESTAMP,</w:t>
        <w:br/>
      </w:r>
      <w:r>
        <w:rPr>
          <w:rFonts w:ascii="Courier New" w:hAnsi="Courier New" w:eastAsia="Courier New"/>
          <w:sz w:val="16"/>
        </w:rPr>
        <w:t xml:space="preserve">  load_kw REAL,</w:t>
        <w:br/>
      </w:r>
      <w:r>
        <w:rPr>
          <w:rFonts w:ascii="Courier New" w:hAnsi="Courier New" w:eastAsia="Courier New"/>
          <w:sz w:val="16"/>
        </w:rPr>
        <w:t xml:space="preserve">  pv_kw REAL,</w:t>
        <w:br/>
      </w:r>
      <w:r>
        <w:rPr>
          <w:rFonts w:ascii="Courier New" w:hAnsi="Courier New" w:eastAsia="Courier New"/>
          <w:sz w:val="16"/>
        </w:rPr>
        <w:t xml:space="preserve">  grid_import_kw REAL,</w:t>
        <w:br/>
      </w:r>
      <w:r>
        <w:rPr>
          <w:rFonts w:ascii="Courier New" w:hAnsi="Courier New" w:eastAsia="Courier New"/>
          <w:sz w:val="16"/>
        </w:rPr>
        <w:t xml:space="preserve">  charge_kw REAL,</w:t>
        <w:br/>
      </w:r>
      <w:r>
        <w:rPr>
          <w:rFonts w:ascii="Courier New" w:hAnsi="Courier New" w:eastAsia="Courier New"/>
          <w:sz w:val="16"/>
        </w:rPr>
        <w:t xml:space="preserve">  discharge_kw REAL,</w:t>
        <w:br/>
      </w:r>
      <w:r>
        <w:rPr>
          <w:rFonts w:ascii="Courier New" w:hAnsi="Courier New" w:eastAsia="Courier New"/>
          <w:sz w:val="16"/>
        </w:rPr>
        <w:t xml:space="preserve">  soc_kwh REAL,</w:t>
        <w:br/>
      </w:r>
      <w:r>
        <w:rPr>
          <w:rFonts w:ascii="Courier New" w:hAnsi="Courier New" w:eastAsia="Courier New"/>
          <w:sz w:val="16"/>
        </w:rPr>
        <w:t xml:space="preserve">  pv_curtailed_kw REAL,</w:t>
        <w:br/>
      </w:r>
      <w:r>
        <w:rPr>
          <w:rFonts w:ascii="Courier New" w:hAnsi="Courier New" w:eastAsia="Courier New"/>
          <w:sz w:val="16"/>
        </w:rPr>
        <w:t xml:space="preserve">  grid_export_kw REAL</w:t>
        <w:br/>
      </w:r>
      <w:r>
        <w:rPr>
          <w:rFonts w:ascii="Courier New" w:hAnsi="Courier New" w:eastAsia="Courier New"/>
          <w:sz w:val="16"/>
        </w:rPr>
        <w:t>);</w:t>
        <w:br/>
      </w:r>
    </w:p>
    <w:p>
      <w:pPr>
        <w:pStyle w:val="Heading1"/>
      </w:pPr>
      <w:r>
        <w:t>15. QA and Validation Rules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0"/>
            </w:pPr>
            <w:r/>
            <w:r>
              <w:rPr>
                <w:b/>
                <w:color w:val="FFFFFF"/>
              </w:rPr>
              <w:t>Check</w:t>
            </w:r>
          </w:p>
        </w:tc>
        <w:tc>
          <w:tcPr>
            <w:tcW w:type="dxa" w:w="3456"/>
            <w:vAlign w:val="top"/>
            <w:shd w:fill="1F4E79"/>
          </w:tcPr>
          <w:p>
            <w:pPr>
              <w:spacing w:after="0"/>
            </w:pPr>
            <w:r/>
            <w:r>
              <w:rPr>
                <w:b/>
                <w:color w:val="FFFFFF"/>
              </w:rPr>
              <w:t>Failure threshold</w:t>
            </w:r>
          </w:p>
        </w:tc>
        <w:tc>
          <w:tcPr>
            <w:tcW w:type="dxa" w:w="3456"/>
            <w:vAlign w:val="top"/>
            <w:shd w:fill="1F4E79"/>
          </w:tcPr>
          <w:p>
            <w:pPr>
              <w:spacing w:after="0"/>
            </w:pPr>
            <w:r/>
            <w:r>
              <w:rPr>
                <w:b/>
                <w:color w:val="FFFFFF"/>
              </w:rPr>
              <w:t>Action</w:t>
            </w:r>
          </w:p>
        </w:tc>
      </w:tr>
      <w:tr>
        <w:tc>
          <w:tcPr>
            <w:tcW w:type="dxa" w:w="3456"/>
            <w:vAlign w:val="top"/>
          </w:tcPr>
          <w:p>
            <w:pPr>
              <w:spacing w:after="0"/>
            </w:pPr>
            <w:r/>
            <w:r>
              <w:rPr>
                <w:b w:val="0"/>
              </w:rPr>
              <w:t>Missing 15-minute intervals</w:t>
            </w:r>
          </w:p>
        </w:tc>
        <w:tc>
          <w:tcPr>
            <w:tcW w:type="dxa" w:w="3456"/>
            <w:vAlign w:val="top"/>
          </w:tcPr>
          <w:p>
            <w:pPr>
              <w:spacing w:after="0"/>
            </w:pPr>
            <w:r/>
            <w:r>
              <w:rPr>
                <w:b w:val="0"/>
              </w:rPr>
              <w:t>&gt;1% missing</w:t>
            </w:r>
          </w:p>
        </w:tc>
        <w:tc>
          <w:tcPr>
            <w:tcW w:type="dxa" w:w="3456"/>
            <w:vAlign w:val="top"/>
          </w:tcPr>
          <w:p>
            <w:pPr>
              <w:spacing w:after="0"/>
            </w:pPr>
            <w:r/>
            <w:r>
              <w:rPr>
                <w:b w:val="0"/>
              </w:rPr>
              <w:t>Fail import; require correction or interpolation approval.</w:t>
            </w:r>
          </w:p>
        </w:tc>
      </w:tr>
      <w:tr>
        <w:tc>
          <w:tcPr>
            <w:tcW w:type="dxa" w:w="3456"/>
            <w:vAlign w:val="top"/>
          </w:tcPr>
          <w:p>
            <w:pPr>
              <w:spacing w:after="0"/>
            </w:pPr>
            <w:r/>
            <w:r>
              <w:rPr>
                <w:b w:val="0"/>
              </w:rPr>
              <w:t>Duplicate timestamps</w:t>
            </w:r>
          </w:p>
        </w:tc>
        <w:tc>
          <w:tcPr>
            <w:tcW w:type="dxa" w:w="3456"/>
            <w:vAlign w:val="top"/>
          </w:tcPr>
          <w:p>
            <w:pPr>
              <w:spacing w:after="0"/>
            </w:pPr>
            <w:r/>
            <w:r>
              <w:rPr>
                <w:b w:val="0"/>
              </w:rPr>
              <w:t>Any duplicates</w:t>
            </w:r>
          </w:p>
        </w:tc>
        <w:tc>
          <w:tcPr>
            <w:tcW w:type="dxa" w:w="3456"/>
            <w:vAlign w:val="top"/>
          </w:tcPr>
          <w:p>
            <w:pPr>
              <w:spacing w:after="0"/>
            </w:pPr>
            <w:r/>
            <w:r>
              <w:rPr>
                <w:b w:val="0"/>
              </w:rPr>
              <w:t>Fail import.</w:t>
            </w:r>
          </w:p>
        </w:tc>
      </w:tr>
      <w:tr>
        <w:tc>
          <w:tcPr>
            <w:tcW w:type="dxa" w:w="3456"/>
            <w:vAlign w:val="top"/>
          </w:tcPr>
          <w:p>
            <w:pPr>
              <w:spacing w:after="0"/>
            </w:pPr>
            <w:r/>
            <w:r>
              <w:rPr>
                <w:b w:val="0"/>
              </w:rPr>
              <w:t>Incorrect interval</w:t>
            </w:r>
          </w:p>
        </w:tc>
        <w:tc>
          <w:tcPr>
            <w:tcW w:type="dxa" w:w="3456"/>
            <w:vAlign w:val="top"/>
          </w:tcPr>
          <w:p>
            <w:pPr>
              <w:spacing w:after="0"/>
            </w:pPr>
            <w:r/>
            <w:r>
              <w:rPr>
                <w:b w:val="0"/>
              </w:rPr>
              <w:t>Not 15 minutes</w:t>
            </w:r>
          </w:p>
        </w:tc>
        <w:tc>
          <w:tcPr>
            <w:tcW w:type="dxa" w:w="3456"/>
            <w:vAlign w:val="top"/>
          </w:tcPr>
          <w:p>
            <w:pPr>
              <w:spacing w:after="0"/>
            </w:pPr>
            <w:r/>
            <w:r>
              <w:rPr>
                <w:b w:val="0"/>
              </w:rPr>
              <w:t>Resample only with user approval.</w:t>
            </w:r>
          </w:p>
        </w:tc>
      </w:tr>
      <w:tr>
        <w:tc>
          <w:tcPr>
            <w:tcW w:type="dxa" w:w="3456"/>
            <w:vAlign w:val="top"/>
          </w:tcPr>
          <w:p>
            <w:pPr>
              <w:spacing w:after="0"/>
            </w:pPr>
            <w:r/>
            <w:r>
              <w:rPr>
                <w:b w:val="0"/>
              </w:rPr>
              <w:t>Negative load</w:t>
            </w:r>
          </w:p>
        </w:tc>
        <w:tc>
          <w:tcPr>
            <w:tcW w:type="dxa" w:w="3456"/>
            <w:vAlign w:val="top"/>
          </w:tcPr>
          <w:p>
            <w:pPr>
              <w:spacing w:after="0"/>
            </w:pPr>
            <w:r/>
            <w:r>
              <w:rPr>
                <w:b w:val="0"/>
              </w:rPr>
              <w:t>Any negative load</w:t>
            </w:r>
          </w:p>
        </w:tc>
        <w:tc>
          <w:tcPr>
            <w:tcW w:type="dxa" w:w="3456"/>
            <w:vAlign w:val="top"/>
          </w:tcPr>
          <w:p>
            <w:pPr>
              <w:spacing w:after="0"/>
            </w:pPr>
            <w:r/>
            <w:r>
              <w:rPr>
                <w:b w:val="0"/>
              </w:rPr>
              <w:t>Flag and require correction.</w:t>
            </w:r>
          </w:p>
        </w:tc>
      </w:tr>
      <w:tr>
        <w:tc>
          <w:tcPr>
            <w:tcW w:type="dxa" w:w="3456"/>
            <w:vAlign w:val="top"/>
          </w:tcPr>
          <w:p>
            <w:pPr>
              <w:spacing w:after="0"/>
            </w:pPr>
            <w:r/>
            <w:r>
              <w:rPr>
                <w:b w:val="0"/>
              </w:rPr>
              <w:t>Tariff calendar coverage</w:t>
            </w:r>
          </w:p>
        </w:tc>
        <w:tc>
          <w:tcPr>
            <w:tcW w:type="dxa" w:w="3456"/>
            <w:vAlign w:val="top"/>
          </w:tcPr>
          <w:p>
            <w:pPr>
              <w:spacing w:after="0"/>
            </w:pPr>
            <w:r/>
            <w:r>
              <w:rPr>
                <w:b w:val="0"/>
              </w:rPr>
              <w:t>Any missing timestamp</w:t>
            </w:r>
          </w:p>
        </w:tc>
        <w:tc>
          <w:tcPr>
            <w:tcW w:type="dxa" w:w="3456"/>
            <w:vAlign w:val="top"/>
          </w:tcPr>
          <w:p>
            <w:pPr>
              <w:spacing w:after="0"/>
            </w:pPr>
            <w:r/>
            <w:r>
              <w:rPr>
                <w:b w:val="0"/>
              </w:rPr>
              <w:t>Fail optimization.</w:t>
            </w:r>
          </w:p>
        </w:tc>
      </w:tr>
      <w:tr>
        <w:tc>
          <w:tcPr>
            <w:tcW w:type="dxa" w:w="3456"/>
            <w:vAlign w:val="top"/>
          </w:tcPr>
          <w:p>
            <w:pPr>
              <w:spacing w:after="0"/>
            </w:pPr>
            <w:r/>
            <w:r>
              <w:rPr>
                <w:b w:val="0"/>
              </w:rPr>
              <w:t>Invoice reconstruction error</w:t>
            </w:r>
          </w:p>
        </w:tc>
        <w:tc>
          <w:tcPr>
            <w:tcW w:type="dxa" w:w="3456"/>
            <w:vAlign w:val="top"/>
          </w:tcPr>
          <w:p>
            <w:pPr>
              <w:spacing w:after="0"/>
            </w:pPr>
            <w:r/>
            <w:r>
              <w:rPr>
                <w:b w:val="0"/>
              </w:rPr>
              <w:t>&gt;5% vs invoice</w:t>
            </w:r>
          </w:p>
        </w:tc>
        <w:tc>
          <w:tcPr>
            <w:tcW w:type="dxa" w:w="3456"/>
            <w:vAlign w:val="top"/>
          </w:tcPr>
          <w:p>
            <w:pPr>
              <w:spacing w:after="0"/>
            </w:pPr>
            <w:r/>
            <w:r>
              <w:rPr>
                <w:b w:val="0"/>
              </w:rPr>
              <w:t>Warn; require bill parser/manual adjustments.</w:t>
            </w:r>
          </w:p>
        </w:tc>
      </w:tr>
      <w:tr>
        <w:tc>
          <w:tcPr>
            <w:tcW w:type="dxa" w:w="3456"/>
            <w:vAlign w:val="top"/>
          </w:tcPr>
          <w:p>
            <w:pPr>
              <w:spacing w:after="0"/>
            </w:pPr>
            <w:r/>
            <w:r>
              <w:rPr>
                <w:b w:val="0"/>
              </w:rPr>
              <w:t>SOC violation</w:t>
            </w:r>
          </w:p>
        </w:tc>
        <w:tc>
          <w:tcPr>
            <w:tcW w:type="dxa" w:w="3456"/>
            <w:vAlign w:val="top"/>
          </w:tcPr>
          <w:p>
            <w:pPr>
              <w:spacing w:after="0"/>
            </w:pPr>
            <w:r/>
            <w:r>
              <w:rPr>
                <w:b w:val="0"/>
              </w:rPr>
              <w:t>Any min/max violation</w:t>
            </w:r>
          </w:p>
        </w:tc>
        <w:tc>
          <w:tcPr>
            <w:tcW w:type="dxa" w:w="3456"/>
            <w:vAlign w:val="top"/>
          </w:tcPr>
          <w:p>
            <w:pPr>
              <w:spacing w:after="0"/>
            </w:pPr>
            <w:r/>
            <w:r>
              <w:rPr>
                <w:b w:val="0"/>
              </w:rPr>
              <w:t>Fail optimization.</w:t>
            </w:r>
          </w:p>
        </w:tc>
      </w:tr>
      <w:tr>
        <w:tc>
          <w:tcPr>
            <w:tcW w:type="dxa" w:w="3456"/>
            <w:vAlign w:val="top"/>
          </w:tcPr>
          <w:p>
            <w:pPr>
              <w:spacing w:after="0"/>
            </w:pPr>
            <w:r/>
            <w:r>
              <w:rPr>
                <w:b w:val="0"/>
              </w:rPr>
              <w:t>No-export violation</w:t>
            </w:r>
          </w:p>
        </w:tc>
        <w:tc>
          <w:tcPr>
            <w:tcW w:type="dxa" w:w="3456"/>
            <w:vAlign w:val="top"/>
          </w:tcPr>
          <w:p>
            <w:pPr>
              <w:spacing w:after="0"/>
            </w:pPr>
            <w:r/>
            <w:r>
              <w:rPr>
                <w:b w:val="0"/>
              </w:rPr>
              <w:t>Any positive export in no-export mode</w:t>
            </w:r>
          </w:p>
        </w:tc>
        <w:tc>
          <w:tcPr>
            <w:tcW w:type="dxa" w:w="3456"/>
            <w:vAlign w:val="top"/>
          </w:tcPr>
          <w:p>
            <w:pPr>
              <w:spacing w:after="0"/>
            </w:pPr>
            <w:r/>
            <w:r>
              <w:rPr>
                <w:b w:val="0"/>
              </w:rPr>
              <w:t>Fail scenario.</w:t>
            </w:r>
          </w:p>
        </w:tc>
      </w:tr>
      <w:tr>
        <w:tc>
          <w:tcPr>
            <w:tcW w:type="dxa" w:w="3456"/>
            <w:vAlign w:val="top"/>
          </w:tcPr>
          <w:p>
            <w:pPr>
              <w:spacing w:after="0"/>
            </w:pPr>
            <w:r/>
            <w:r>
              <w:rPr>
                <w:b w:val="0"/>
              </w:rPr>
              <w:t>GDMTO threshold</w:t>
            </w:r>
          </w:p>
        </w:tc>
        <w:tc>
          <w:tcPr>
            <w:tcW w:type="dxa" w:w="3456"/>
            <w:vAlign w:val="top"/>
          </w:tcPr>
          <w:p>
            <w:pPr>
              <w:spacing w:after="0"/>
            </w:pPr>
            <w:r/>
            <w:r>
              <w:rPr>
                <w:b w:val="0"/>
              </w:rPr>
              <w:t>Peak &gt;=100 kW</w:t>
            </w:r>
          </w:p>
        </w:tc>
        <w:tc>
          <w:tcPr>
            <w:tcW w:type="dxa" w:w="3456"/>
            <w:vAlign w:val="top"/>
          </w:tcPr>
          <w:p>
            <w:pPr>
              <w:spacing w:after="0"/>
            </w:pPr>
            <w:r/>
            <w:r>
              <w:rPr>
                <w:b w:val="0"/>
              </w:rPr>
              <w:t>Flag GDMTH migration/reclassification risk.</w:t>
            </w:r>
          </w:p>
        </w:tc>
      </w:tr>
    </w:tbl>
    <w:p/>
    <w:p>
      <w:pPr>
        <w:pStyle w:val="Heading1"/>
      </w:pPr>
      <w:r>
        <w:t>16. Test Plan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b/>
                <w:color w:val="FFFFFF"/>
              </w:rPr>
              <w:t>Test file</w:t>
            </w:r>
          </w:p>
        </w:tc>
        <w:tc>
          <w:tcPr>
            <w:tcW w:type="dxa" w:w="5184"/>
            <w:vAlign w:val="top"/>
            <w:shd w:fill="1F4E79"/>
          </w:tcPr>
          <w:p>
            <w:pPr>
              <w:spacing w:after="0"/>
            </w:pPr>
            <w:r/>
            <w:r>
              <w:rPr>
                <w:b/>
                <w:color w:val="FFFFFF"/>
              </w:rPr>
              <w:t>Tests</w:t>
            </w:r>
          </w:p>
        </w:tc>
      </w:tr>
      <w:tr>
        <w:tc>
          <w:tcPr>
            <w:tcW w:type="dxa" w:w="5184"/>
            <w:vAlign w:val="top"/>
          </w:tcPr>
          <w:p>
            <w:pPr>
              <w:spacing w:after="0"/>
            </w:pPr>
            <w:r/>
            <w:r>
              <w:rPr>
                <w:b w:val="0"/>
              </w:rPr>
              <w:t>test_tariff_calendar.py</w:t>
            </w:r>
          </w:p>
        </w:tc>
        <w:tc>
          <w:tcPr>
            <w:tcW w:type="dxa" w:w="5184"/>
            <w:vAlign w:val="top"/>
          </w:tcPr>
          <w:p>
            <w:pPr>
              <w:spacing w:after="0"/>
            </w:pPr>
            <w:r/>
            <w:r>
              <w:rPr>
                <w:b w:val="0"/>
              </w:rPr>
              <w:t>SIN GDMTH winter/summer periods, DIST/DIT seasonal cutovers, holidays.</w:t>
            </w:r>
          </w:p>
        </w:tc>
      </w:tr>
      <w:tr>
        <w:tc>
          <w:tcPr>
            <w:tcW w:type="dxa" w:w="5184"/>
            <w:vAlign w:val="top"/>
          </w:tcPr>
          <w:p>
            <w:pPr>
              <w:spacing w:after="0"/>
            </w:pPr>
            <w:r/>
            <w:r>
              <w:rPr>
                <w:b w:val="0"/>
              </w:rPr>
              <w:t>test_bill_reconstruction.py</w:t>
            </w:r>
          </w:p>
        </w:tc>
        <w:tc>
          <w:tcPr>
            <w:tcW w:type="dxa" w:w="5184"/>
            <w:vAlign w:val="top"/>
          </w:tcPr>
          <w:p>
            <w:pPr>
              <w:spacing w:after="0"/>
            </w:pPr>
            <w:r/>
            <w:r>
              <w:rPr>
                <w:b w:val="0"/>
              </w:rPr>
              <w:t>kWh by period, fixed charge, energy charges, monthly invoice tolerance.</w:t>
            </w:r>
          </w:p>
        </w:tc>
      </w:tr>
      <w:tr>
        <w:tc>
          <w:tcPr>
            <w:tcW w:type="dxa" w:w="5184"/>
            <w:vAlign w:val="top"/>
          </w:tcPr>
          <w:p>
            <w:pPr>
              <w:spacing w:after="0"/>
            </w:pPr>
            <w:r/>
            <w:r>
              <w:rPr>
                <w:b w:val="0"/>
              </w:rPr>
              <w:t>test_demand_charges.py</w:t>
            </w:r>
          </w:p>
        </w:tc>
        <w:tc>
          <w:tcPr>
            <w:tcW w:type="dxa" w:w="5184"/>
            <w:vAlign w:val="top"/>
          </w:tcPr>
          <w:p>
            <w:pPr>
              <w:spacing w:after="0"/>
            </w:pPr>
            <w:r/>
            <w:r>
              <w:rPr>
                <w:b w:val="0"/>
              </w:rPr>
              <w:t>Dmaxpunta, Dmaxmensual, ceil rounding, factor de carga formulas.</w:t>
            </w:r>
          </w:p>
        </w:tc>
      </w:tr>
      <w:tr>
        <w:tc>
          <w:tcPr>
            <w:tcW w:type="dxa" w:w="5184"/>
            <w:vAlign w:val="top"/>
          </w:tcPr>
          <w:p>
            <w:pPr>
              <w:spacing w:after="0"/>
            </w:pPr>
            <w:r/>
            <w:r>
              <w:rPr>
                <w:b w:val="0"/>
              </w:rPr>
              <w:t>test_bess_soc.py</w:t>
            </w:r>
          </w:p>
        </w:tc>
        <w:tc>
          <w:tcPr>
            <w:tcW w:type="dxa" w:w="5184"/>
            <w:vAlign w:val="top"/>
          </w:tcPr>
          <w:p>
            <w:pPr>
              <w:spacing w:after="0"/>
            </w:pPr>
            <w:r/>
            <w:r>
              <w:rPr>
                <w:b w:val="0"/>
              </w:rPr>
              <w:t>SOC balance, RTE, reserve SOC, no simultaneous charge/discharge.</w:t>
            </w:r>
          </w:p>
        </w:tc>
      </w:tr>
      <w:tr>
        <w:tc>
          <w:tcPr>
            <w:tcW w:type="dxa" w:w="5184"/>
            <w:vAlign w:val="top"/>
          </w:tcPr>
          <w:p>
            <w:pPr>
              <w:spacing w:after="0"/>
            </w:pPr>
            <w:r/>
            <w:r>
              <w:rPr>
                <w:b w:val="0"/>
              </w:rPr>
              <w:t>test_no_export.py</w:t>
            </w:r>
          </w:p>
        </w:tc>
        <w:tc>
          <w:tcPr>
            <w:tcW w:type="dxa" w:w="5184"/>
            <w:vAlign w:val="top"/>
          </w:tcPr>
          <w:p>
            <w:pPr>
              <w:spacing w:after="0"/>
            </w:pPr>
            <w:r/>
            <w:r>
              <w:rPr>
                <w:b w:val="0"/>
              </w:rPr>
              <w:t>PV+BESS no-export constraint, PV curtailment logic.</w:t>
            </w:r>
          </w:p>
        </w:tc>
      </w:tr>
      <w:tr>
        <w:tc>
          <w:tcPr>
            <w:tcW w:type="dxa" w:w="5184"/>
            <w:vAlign w:val="top"/>
          </w:tcPr>
          <w:p>
            <w:pPr>
              <w:spacing w:after="0"/>
            </w:pPr>
            <w:r/>
            <w:r>
              <w:rPr>
                <w:b w:val="0"/>
              </w:rPr>
              <w:t>test_scrapers.py</w:t>
            </w:r>
          </w:p>
        </w:tc>
        <w:tc>
          <w:tcPr>
            <w:tcW w:type="dxa" w:w="5184"/>
            <w:vAlign w:val="top"/>
          </w:tcPr>
          <w:p>
            <w:pPr>
              <w:spacing w:after="0"/>
            </w:pPr>
            <w:r/>
            <w:r>
              <w:rPr>
                <w:b w:val="0"/>
              </w:rPr>
              <w:t>CFE tariff parse, CNE PDF table parse, Banxico API fallback, NodosP parse.</w:t>
            </w:r>
          </w:p>
        </w:tc>
      </w:tr>
    </w:tbl>
    <w:p/>
    <w:p>
      <w:pPr>
        <w:pStyle w:val="Heading1"/>
      </w:pPr>
      <w:r>
        <w:t>17. MVP Build Roadmap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0"/>
            </w:pPr>
            <w:r/>
            <w:r>
              <w:rPr>
                <w:b/>
                <w:color w:val="FFFFFF"/>
              </w:rPr>
              <w:t>Phase</w:t>
            </w:r>
          </w:p>
        </w:tc>
        <w:tc>
          <w:tcPr>
            <w:tcW w:type="dxa" w:w="3456"/>
            <w:vAlign w:val="top"/>
            <w:shd w:fill="1F4E79"/>
          </w:tcPr>
          <w:p>
            <w:pPr>
              <w:spacing w:after="0"/>
            </w:pPr>
            <w:r/>
            <w:r>
              <w:rPr>
                <w:b/>
                <w:color w:val="FFFFFF"/>
              </w:rPr>
              <w:t>Duration</w:t>
            </w:r>
          </w:p>
        </w:tc>
        <w:tc>
          <w:tcPr>
            <w:tcW w:type="dxa" w:w="3456"/>
            <w:vAlign w:val="top"/>
            <w:shd w:fill="1F4E79"/>
          </w:tcPr>
          <w:p>
            <w:pPr>
              <w:spacing w:after="0"/>
            </w:pPr>
            <w:r/>
            <w:r>
              <w:rPr>
                <w:b/>
                <w:color w:val="FFFFFF"/>
              </w:rPr>
              <w:t>Deliverables</w:t>
            </w:r>
          </w:p>
        </w:tc>
      </w:tr>
      <w:tr>
        <w:tc>
          <w:tcPr>
            <w:tcW w:type="dxa" w:w="3456"/>
            <w:vAlign w:val="top"/>
          </w:tcPr>
          <w:p>
            <w:pPr>
              <w:spacing w:after="0"/>
            </w:pPr>
            <w:r/>
            <w:r>
              <w:rPr>
                <w:b w:val="0"/>
              </w:rPr>
              <w:t>Phase 0: Setup</w:t>
            </w:r>
          </w:p>
        </w:tc>
        <w:tc>
          <w:tcPr>
            <w:tcW w:type="dxa" w:w="3456"/>
            <w:vAlign w:val="top"/>
          </w:tcPr>
          <w:p>
            <w:pPr>
              <w:spacing w:after="0"/>
            </w:pPr>
            <w:r/>
            <w:r>
              <w:rPr>
                <w:b w:val="0"/>
              </w:rPr>
              <w:t>2-3 days</w:t>
            </w:r>
          </w:p>
        </w:tc>
        <w:tc>
          <w:tcPr>
            <w:tcW w:type="dxa" w:w="3456"/>
            <w:vAlign w:val="top"/>
          </w:tcPr>
          <w:p>
            <w:pPr>
              <w:spacing w:after="0"/>
            </w:pPr>
            <w:r/>
            <w:r>
              <w:rPr>
                <w:b w:val="0"/>
              </w:rPr>
              <w:t>Repo, schemas, config files, sample Coyoacan/Valle de Mexico Sur tariff data.</w:t>
            </w:r>
          </w:p>
        </w:tc>
      </w:tr>
      <w:tr>
        <w:tc>
          <w:tcPr>
            <w:tcW w:type="dxa" w:w="3456"/>
            <w:vAlign w:val="top"/>
          </w:tcPr>
          <w:p>
            <w:pPr>
              <w:spacing w:after="0"/>
            </w:pPr>
            <w:r/>
            <w:r>
              <w:rPr>
                <w:b w:val="0"/>
              </w:rPr>
              <w:t>Phase 1: Bill engine</w:t>
            </w:r>
          </w:p>
        </w:tc>
        <w:tc>
          <w:tcPr>
            <w:tcW w:type="dxa" w:w="3456"/>
            <w:vAlign w:val="top"/>
          </w:tcPr>
          <w:p>
            <w:pPr>
              <w:spacing w:after="0"/>
            </w:pPr>
            <w:r/>
            <w:r>
              <w:rPr>
                <w:b w:val="0"/>
              </w:rPr>
              <w:t>1 week</w:t>
            </w:r>
          </w:p>
        </w:tc>
        <w:tc>
          <w:tcPr>
            <w:tcW w:type="dxa" w:w="3456"/>
            <w:vAlign w:val="top"/>
          </w:tcPr>
          <w:p>
            <w:pPr>
              <w:spacing w:after="0"/>
            </w:pPr>
            <w:r/>
            <w:r>
              <w:rPr>
                <w:b w:val="0"/>
              </w:rPr>
              <w:t>15-minute calendar, tariff rates, baseline CFE bill reconstruction.</w:t>
            </w:r>
          </w:p>
        </w:tc>
      </w:tr>
      <w:tr>
        <w:tc>
          <w:tcPr>
            <w:tcW w:type="dxa" w:w="3456"/>
            <w:vAlign w:val="top"/>
          </w:tcPr>
          <w:p>
            <w:pPr>
              <w:spacing w:after="0"/>
            </w:pPr>
            <w:r/>
            <w:r>
              <w:rPr>
                <w:b w:val="0"/>
              </w:rPr>
              <w:t>Phase 2: BESS optimizer</w:t>
            </w:r>
          </w:p>
        </w:tc>
        <w:tc>
          <w:tcPr>
            <w:tcW w:type="dxa" w:w="3456"/>
            <w:vAlign w:val="top"/>
          </w:tcPr>
          <w:p>
            <w:pPr>
              <w:spacing w:after="0"/>
            </w:pPr>
            <w:r/>
            <w:r>
              <w:rPr>
                <w:b w:val="0"/>
              </w:rPr>
              <w:t>1-2 weeks</w:t>
            </w:r>
          </w:p>
        </w:tc>
        <w:tc>
          <w:tcPr>
            <w:tcW w:type="dxa" w:w="3456"/>
            <w:vAlign w:val="top"/>
          </w:tcPr>
          <w:p>
            <w:pPr>
              <w:spacing w:after="0"/>
            </w:pPr>
            <w:r/>
            <w:r>
              <w:rPr>
                <w:b w:val="0"/>
              </w:rPr>
              <w:t>Rule-based and LP dispatch; savings attribution.</w:t>
            </w:r>
          </w:p>
        </w:tc>
      </w:tr>
      <w:tr>
        <w:tc>
          <w:tcPr>
            <w:tcW w:type="dxa" w:w="3456"/>
            <w:vAlign w:val="top"/>
          </w:tcPr>
          <w:p>
            <w:pPr>
              <w:spacing w:after="0"/>
            </w:pPr>
            <w:r/>
            <w:r>
              <w:rPr>
                <w:b w:val="0"/>
              </w:rPr>
              <w:t>Phase 3: PV+BESS</w:t>
            </w:r>
          </w:p>
        </w:tc>
        <w:tc>
          <w:tcPr>
            <w:tcW w:type="dxa" w:w="3456"/>
            <w:vAlign w:val="top"/>
          </w:tcPr>
          <w:p>
            <w:pPr>
              <w:spacing w:after="0"/>
            </w:pPr>
            <w:r/>
            <w:r>
              <w:rPr>
                <w:b w:val="0"/>
              </w:rPr>
              <w:t>1 week</w:t>
            </w:r>
          </w:p>
        </w:tc>
        <w:tc>
          <w:tcPr>
            <w:tcW w:type="dxa" w:w="3456"/>
            <w:vAlign w:val="top"/>
          </w:tcPr>
          <w:p>
            <w:pPr>
              <w:spacing w:after="0"/>
            </w:pPr>
            <w:r/>
            <w:r>
              <w:rPr>
                <w:b w:val="0"/>
              </w:rPr>
              <w:t>PV loader, no-export controller, PV curtailment and self-consumption reports.</w:t>
            </w:r>
          </w:p>
        </w:tc>
      </w:tr>
      <w:tr>
        <w:tc>
          <w:tcPr>
            <w:tcW w:type="dxa" w:w="3456"/>
            <w:vAlign w:val="top"/>
          </w:tcPr>
          <w:p>
            <w:pPr>
              <w:spacing w:after="0"/>
            </w:pPr>
            <w:r/>
            <w:r>
              <w:rPr>
                <w:b w:val="0"/>
              </w:rPr>
              <w:t>Phase 4: Financials and reports</w:t>
            </w:r>
          </w:p>
        </w:tc>
        <w:tc>
          <w:tcPr>
            <w:tcW w:type="dxa" w:w="3456"/>
            <w:vAlign w:val="top"/>
          </w:tcPr>
          <w:p>
            <w:pPr>
              <w:spacing w:after="0"/>
            </w:pPr>
            <w:r/>
            <w:r>
              <w:rPr>
                <w:b w:val="0"/>
              </w:rPr>
              <w:t>1 week</w:t>
            </w:r>
          </w:p>
        </w:tc>
        <w:tc>
          <w:tcPr>
            <w:tcW w:type="dxa" w:w="3456"/>
            <w:vAlign w:val="top"/>
          </w:tcPr>
          <w:p>
            <w:pPr>
              <w:spacing w:after="0"/>
            </w:pPr>
            <w:r/>
            <w:r>
              <w:rPr>
                <w:b w:val="0"/>
              </w:rPr>
              <w:t>Excel/PDF outputs, IRR/NPV/payback, sensitivity.</w:t>
            </w:r>
          </w:p>
        </w:tc>
      </w:tr>
      <w:tr>
        <w:tc>
          <w:tcPr>
            <w:tcW w:type="dxa" w:w="3456"/>
            <w:vAlign w:val="top"/>
          </w:tcPr>
          <w:p>
            <w:pPr>
              <w:spacing w:after="0"/>
            </w:pPr>
            <w:r/>
            <w:r>
              <w:rPr>
                <w:b w:val="0"/>
              </w:rPr>
              <w:t>Phase 5: Scrapers</w:t>
            </w:r>
          </w:p>
        </w:tc>
        <w:tc>
          <w:tcPr>
            <w:tcW w:type="dxa" w:w="3456"/>
            <w:vAlign w:val="top"/>
          </w:tcPr>
          <w:p>
            <w:pPr>
              <w:spacing w:after="0"/>
            </w:pPr>
            <w:r/>
            <w:r>
              <w:rPr>
                <w:b w:val="0"/>
              </w:rPr>
              <w:t>1-2 weeks</w:t>
            </w:r>
          </w:p>
        </w:tc>
        <w:tc>
          <w:tcPr>
            <w:tcW w:type="dxa" w:w="3456"/>
            <w:vAlign w:val="top"/>
          </w:tcPr>
          <w:p>
            <w:pPr>
              <w:spacing w:after="0"/>
            </w:pPr>
            <w:r/>
            <w:r>
              <w:rPr>
                <w:b w:val="0"/>
              </w:rPr>
              <w:t>CFE/CNE tariff scraper, Banxico FX, holidays, optional CENACE.</w:t>
            </w:r>
          </w:p>
        </w:tc>
      </w:tr>
    </w:tbl>
    <w:p/>
    <w:p>
      <w:pPr>
        <w:pStyle w:val="Heading1"/>
      </w:pPr>
      <w:r>
        <w:t>18. Developer Acceptance Criteria</w:t>
      </w:r>
    </w:p>
    <w:p>
      <w:pPr>
        <w:pStyle w:val="ListBullet"/>
      </w:pPr>
      <w:r>
        <w:t>Given 12 months of 15-minute load and monthly tariff rates, the module reconstructs the baseline CFE bill within 5% of the invoice before taxes/adjustments.</w:t>
      </w:r>
    </w:p>
    <w:p>
      <w:pPr>
        <w:pStyle w:val="ListBullet"/>
      </w:pPr>
      <w:r>
        <w:t>Given a BESS size, the optimizer returns a feasible dispatch with no SOC violations and no export in no-export mode.</w:t>
      </w:r>
    </w:p>
    <w:p>
      <w:pPr>
        <w:pStyle w:val="ListBullet"/>
      </w:pPr>
      <w:r>
        <w:t>The report shows before/after Dmaxpunta, Dmaxmensual, kWh by period, and savings by component.</w:t>
      </w:r>
    </w:p>
    <w:p>
      <w:pPr>
        <w:pStyle w:val="ListBullet"/>
      </w:pPr>
      <w:r>
        <w:t>The tariff calendar labels every 15-minute interval with the correct period for GDMTH/DIST/DIT and official holidays.</w:t>
      </w:r>
    </w:p>
    <w:p>
      <w:pPr>
        <w:pStyle w:val="ListBullet"/>
      </w:pPr>
      <w:r>
        <w:t>The GDMTO/GDMTH migration checker flags months where measured demand reaches or exceeds 100 kW.</w:t>
      </w:r>
    </w:p>
    <w:p>
      <w:pPr>
        <w:pStyle w:val="ListBullet"/>
      </w:pPr>
      <w:r>
        <w:t>Scraper outputs use the same normalized schema as manual starter data and include source URLs/files.</w:t>
      </w:r>
    </w:p>
    <w:p>
      <w:pPr>
        <w:pStyle w:val="Heading1"/>
      </w:pPr>
      <w:r>
        <w:t>19. Implementation Risks and Controls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b/>
                <w:color w:val="FFFFFF"/>
              </w:rPr>
              <w:t>Risk</w:t>
            </w:r>
          </w:p>
        </w:tc>
        <w:tc>
          <w:tcPr>
            <w:tcW w:type="dxa" w:w="5184"/>
            <w:vAlign w:val="top"/>
            <w:shd w:fill="1F4E79"/>
          </w:tcPr>
          <w:p>
            <w:pPr>
              <w:spacing w:after="0"/>
            </w:pPr>
            <w:r/>
            <w:r>
              <w:rPr>
                <w:b/>
                <w:color w:val="FFFFFF"/>
              </w:rPr>
              <w:t>Mitigation</w:t>
            </w:r>
          </w:p>
        </w:tc>
      </w:tr>
      <w:tr>
        <w:tc>
          <w:tcPr>
            <w:tcW w:type="dxa" w:w="5184"/>
            <w:vAlign w:val="top"/>
          </w:tcPr>
          <w:p>
            <w:pPr>
              <w:spacing w:after="0"/>
            </w:pPr>
            <w:r/>
            <w:r>
              <w:rPr>
                <w:b w:val="0"/>
              </w:rPr>
              <w:t>CFE web pages change format</w:t>
            </w:r>
          </w:p>
        </w:tc>
        <w:tc>
          <w:tcPr>
            <w:tcW w:type="dxa" w:w="5184"/>
            <w:vAlign w:val="top"/>
          </w:tcPr>
          <w:p>
            <w:pPr>
              <w:spacing w:after="0"/>
            </w:pPr>
            <w:r/>
            <w:r>
              <w:rPr>
                <w:b w:val="0"/>
              </w:rPr>
              <w:t>Keep raw HTML/PDF snapshots; parser tests; manual upload fallback.</w:t>
            </w:r>
          </w:p>
        </w:tc>
      </w:tr>
      <w:tr>
        <w:tc>
          <w:tcPr>
            <w:tcW w:type="dxa" w:w="5184"/>
            <w:vAlign w:val="top"/>
          </w:tcPr>
          <w:p>
            <w:pPr>
              <w:spacing w:after="0"/>
            </w:pPr>
            <w:r/>
            <w:r>
              <w:rPr>
                <w:b w:val="0"/>
              </w:rPr>
              <w:t>PDF tariff tables are image-only</w:t>
            </w:r>
          </w:p>
        </w:tc>
        <w:tc>
          <w:tcPr>
            <w:tcW w:type="dxa" w:w="5184"/>
            <w:vAlign w:val="top"/>
          </w:tcPr>
          <w:p>
            <w:pPr>
              <w:spacing w:after="0"/>
            </w:pPr>
            <w:r/>
            <w:r>
              <w:rPr>
                <w:b w:val="0"/>
              </w:rPr>
              <w:t>Use rendered-table/OCR fallback only for affected pages; require manual QA.</w:t>
            </w:r>
          </w:p>
        </w:tc>
      </w:tr>
      <w:tr>
        <w:tc>
          <w:tcPr>
            <w:tcW w:type="dxa" w:w="5184"/>
            <w:vAlign w:val="top"/>
          </w:tcPr>
          <w:p>
            <w:pPr>
              <w:spacing w:after="0"/>
            </w:pPr>
            <w:r/>
            <w:r>
              <w:rPr>
                <w:b w:val="0"/>
              </w:rPr>
              <w:t>Customer meter data incomplete</w:t>
            </w:r>
          </w:p>
        </w:tc>
        <w:tc>
          <w:tcPr>
            <w:tcW w:type="dxa" w:w="5184"/>
            <w:vAlign w:val="top"/>
          </w:tcPr>
          <w:p>
            <w:pPr>
              <w:spacing w:after="0"/>
            </w:pPr>
            <w:r/>
            <w:r>
              <w:rPr>
                <w:b w:val="0"/>
              </w:rPr>
              <w:t>Run import QA; require interpolation approval for small gaps.</w:t>
            </w:r>
          </w:p>
        </w:tc>
      </w:tr>
      <w:tr>
        <w:tc>
          <w:tcPr>
            <w:tcW w:type="dxa" w:w="5184"/>
            <w:vAlign w:val="top"/>
          </w:tcPr>
          <w:p>
            <w:pPr>
              <w:spacing w:after="0"/>
            </w:pPr>
            <w:r/>
            <w:r>
              <w:rPr>
                <w:b w:val="0"/>
              </w:rPr>
              <w:t>Bill does not reconcile</w:t>
            </w:r>
          </w:p>
        </w:tc>
        <w:tc>
          <w:tcPr>
            <w:tcW w:type="dxa" w:w="5184"/>
            <w:vAlign w:val="top"/>
          </w:tcPr>
          <w:p>
            <w:pPr>
              <w:spacing w:after="0"/>
            </w:pPr>
            <w:r/>
            <w:r>
              <w:rPr>
                <w:b w:val="0"/>
              </w:rPr>
              <w:t>Add manual adjustments: taxes, penalties, power factor, prior balances, rounding.</w:t>
            </w:r>
          </w:p>
        </w:tc>
      </w:tr>
      <w:tr>
        <w:tc>
          <w:tcPr>
            <w:tcW w:type="dxa" w:w="5184"/>
            <w:vAlign w:val="top"/>
          </w:tcPr>
          <w:p>
            <w:pPr>
              <w:spacing w:after="0"/>
            </w:pPr>
            <w:r/>
            <w:r>
              <w:rPr>
                <w:b w:val="0"/>
              </w:rPr>
              <w:t>Optimizing only energy spreads undervalues BESS</w:t>
            </w:r>
          </w:p>
        </w:tc>
        <w:tc>
          <w:tcPr>
            <w:tcW w:type="dxa" w:w="5184"/>
            <w:vAlign w:val="top"/>
          </w:tcPr>
          <w:p>
            <w:pPr>
              <w:spacing w:after="0"/>
            </w:pPr>
            <w:r/>
            <w:r>
              <w:rPr>
                <w:b w:val="0"/>
              </w:rPr>
              <w:t>Objective includes capacity and distribution demand charges.</w:t>
            </w:r>
          </w:p>
        </w:tc>
      </w:tr>
      <w:tr>
        <w:tc>
          <w:tcPr>
            <w:tcW w:type="dxa" w:w="5184"/>
            <w:vAlign w:val="top"/>
          </w:tcPr>
          <w:p>
            <w:pPr>
              <w:spacing w:after="0"/>
            </w:pPr>
            <w:r/>
            <w:r>
              <w:rPr>
                <w:b w:val="0"/>
              </w:rPr>
              <w:t>Wrong season/holiday mapping</w:t>
            </w:r>
          </w:p>
        </w:tc>
        <w:tc>
          <w:tcPr>
            <w:tcW w:type="dxa" w:w="5184"/>
            <w:vAlign w:val="top"/>
          </w:tcPr>
          <w:p>
            <w:pPr>
              <w:spacing w:after="0"/>
            </w:pPr>
            <w:r/>
            <w:r>
              <w:rPr>
                <w:b w:val="0"/>
              </w:rPr>
              <w:t>Use unit tests for every tariff season cutover and official holiday.</w:t>
            </w:r>
          </w:p>
        </w:tc>
      </w:tr>
    </w:tbl>
    <w:p/>
    <w:p>
      <w:pPr>
        <w:pStyle w:val="Heading1"/>
      </w:pPr>
      <w:r>
        <w:t>20. References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b/>
                <w:color w:val="FFFFFF"/>
              </w:rPr>
              <w:t>Reference</w:t>
            </w:r>
          </w:p>
        </w:tc>
        <w:tc>
          <w:tcPr>
            <w:tcW w:type="dxa" w:w="5184"/>
            <w:vAlign w:val="top"/>
            <w:shd w:fill="1F4E79"/>
          </w:tcPr>
          <w:p>
            <w:pPr>
              <w:spacing w:after="0"/>
            </w:pPr>
            <w:r/>
            <w:r>
              <w:rPr>
                <w:b/>
                <w:color w:val="FFFFFF"/>
              </w:rPr>
              <w:t>Location</w:t>
            </w:r>
          </w:p>
        </w:tc>
      </w:tr>
      <w:tr>
        <w:tc>
          <w:tcPr>
            <w:tcW w:type="dxa" w:w="5184"/>
            <w:vAlign w:val="top"/>
          </w:tcPr>
          <w:p>
            <w:pPr>
              <w:spacing w:after="0"/>
            </w:pPr>
            <w:r/>
            <w:r>
              <w:rPr>
                <w:b w:val="0"/>
              </w:rPr>
              <w:t>CNE/CFE uploaded source</w:t>
            </w:r>
          </w:p>
        </w:tc>
        <w:tc>
          <w:tcPr>
            <w:tcW w:type="dxa" w:w="5184"/>
            <w:vAlign w:val="top"/>
          </w:tcPr>
          <w:p>
            <w:pPr>
              <w:spacing w:after="0"/>
            </w:pPr>
            <w:r/>
            <w:r>
              <w:rPr>
                <w:b w:val="0"/>
              </w:rPr>
              <w:t>Acuerdo CT/11.SE/8-2025, Cálculo y Ajuste de las TFSB 2026, user-uploaded text file.</w:t>
            </w:r>
          </w:p>
        </w:tc>
      </w:tr>
      <w:tr>
        <w:tc>
          <w:tcPr>
            <w:tcW w:type="dxa" w:w="5184"/>
            <w:vAlign w:val="top"/>
          </w:tcPr>
          <w:p>
            <w:pPr>
              <w:spacing w:after="0"/>
            </w:pPr>
            <w:r/>
            <w:r>
              <w:rPr>
                <w:b w:val="0"/>
              </w:rPr>
              <w:t>CNE uploaded source</w:t>
            </w:r>
          </w:p>
        </w:tc>
        <w:tc>
          <w:tcPr>
            <w:tcW w:type="dxa" w:w="5184"/>
            <w:vAlign w:val="top"/>
          </w:tcPr>
          <w:p>
            <w:pPr>
              <w:spacing w:after="0"/>
            </w:pPr>
            <w:r/>
            <w:r>
              <w:rPr>
                <w:b w:val="0"/>
              </w:rPr>
              <w:t>Oficio CNE F00.06.UE/1636/2026, TFSB junio 2026, user-uploaded PDF.</w:t>
            </w:r>
          </w:p>
        </w:tc>
      </w:tr>
      <w:tr>
        <w:tc>
          <w:tcPr>
            <w:tcW w:type="dxa" w:w="5184"/>
            <w:vAlign w:val="top"/>
          </w:tcPr>
          <w:p>
            <w:pPr>
              <w:spacing w:after="0"/>
            </w:pPr>
            <w:r/>
            <w:r>
              <w:rPr>
                <w:b w:val="0"/>
              </w:rPr>
              <w:t>CFE Industrial Tariffs</w:t>
            </w:r>
          </w:p>
        </w:tc>
        <w:tc>
          <w:tcPr>
            <w:tcW w:type="dxa" w:w="5184"/>
            <w:vAlign w:val="top"/>
          </w:tcPr>
          <w:p>
            <w:pPr>
              <w:spacing w:after="0"/>
            </w:pPr>
            <w:r/>
            <w:r>
              <w:rPr>
                <w:b w:val="0"/>
              </w:rPr>
              <w:t>https://app.cfe.mx/Aplicaciones/CCFE/Tarifas/TarifasCREIndustria/industria.aspx</w:t>
            </w:r>
          </w:p>
        </w:tc>
      </w:tr>
      <w:tr>
        <w:tc>
          <w:tcPr>
            <w:tcW w:type="dxa" w:w="5184"/>
            <w:vAlign w:val="top"/>
          </w:tcPr>
          <w:p>
            <w:pPr>
              <w:spacing w:after="0"/>
            </w:pPr>
            <w:r/>
            <w:r>
              <w:rPr>
                <w:b w:val="0"/>
              </w:rPr>
              <w:t>CFE Industrial Acuerdos</w:t>
            </w:r>
          </w:p>
        </w:tc>
        <w:tc>
          <w:tcPr>
            <w:tcW w:type="dxa" w:w="5184"/>
            <w:vAlign w:val="top"/>
          </w:tcPr>
          <w:p>
            <w:pPr>
              <w:spacing w:after="0"/>
            </w:pPr>
            <w:r/>
            <w:r>
              <w:rPr>
                <w:b w:val="0"/>
              </w:rPr>
              <w:t>https://app.cfe.mx/Aplicaciones/CCFE/Tarifas/TarifasCREIndustria/Acuerdos/AcuerdosIndustria.aspx</w:t>
            </w:r>
          </w:p>
        </w:tc>
      </w:tr>
      <w:tr>
        <w:tc>
          <w:tcPr>
            <w:tcW w:type="dxa" w:w="5184"/>
            <w:vAlign w:val="top"/>
          </w:tcPr>
          <w:p>
            <w:pPr>
              <w:spacing w:after="0"/>
            </w:pPr>
            <w:r/>
            <w:r>
              <w:rPr>
                <w:b w:val="0"/>
              </w:rPr>
              <w:t>CENACE NodosP</w:t>
            </w:r>
          </w:p>
        </w:tc>
        <w:tc>
          <w:tcPr>
            <w:tcW w:type="dxa" w:w="5184"/>
            <w:vAlign w:val="top"/>
          </w:tcPr>
          <w:p>
            <w:pPr>
              <w:spacing w:after="0"/>
            </w:pPr>
            <w:r/>
            <w:r>
              <w:rPr>
                <w:b w:val="0"/>
              </w:rPr>
              <w:t>https://www.cenace.gob.mx/Paginas/SIM/NodosP.aspx</w:t>
            </w:r>
          </w:p>
        </w:tc>
      </w:tr>
      <w:tr>
        <w:tc>
          <w:tcPr>
            <w:tcW w:type="dxa" w:w="5184"/>
            <w:vAlign w:val="top"/>
          </w:tcPr>
          <w:p>
            <w:pPr>
              <w:spacing w:after="0"/>
            </w:pPr>
            <w:r/>
            <w:r>
              <w:rPr>
                <w:b w:val="0"/>
              </w:rPr>
              <w:t>CENACE Nodos2</w:t>
            </w:r>
          </w:p>
        </w:tc>
        <w:tc>
          <w:tcPr>
            <w:tcW w:type="dxa" w:w="5184"/>
            <w:vAlign w:val="top"/>
          </w:tcPr>
          <w:p>
            <w:pPr>
              <w:spacing w:after="0"/>
            </w:pPr>
            <w:r/>
            <w:r>
              <w:rPr>
                <w:b w:val="0"/>
              </w:rPr>
              <w:t>https://www.cenace.gob.mx/Nodos2.aspx</w:t>
            </w:r>
          </w:p>
        </w:tc>
      </w:tr>
      <w:tr>
        <w:tc>
          <w:tcPr>
            <w:tcW w:type="dxa" w:w="5184"/>
            <w:vAlign w:val="top"/>
          </w:tcPr>
          <w:p>
            <w:pPr>
              <w:spacing w:after="0"/>
            </w:pPr>
            <w:r/>
            <w:r>
              <w:rPr>
                <w:b w:val="0"/>
              </w:rPr>
              <w:t>Banxico FIX</w:t>
            </w:r>
          </w:p>
        </w:tc>
        <w:tc>
          <w:tcPr>
            <w:tcW w:type="dxa" w:w="5184"/>
            <w:vAlign w:val="top"/>
          </w:tcPr>
          <w:p>
            <w:pPr>
              <w:spacing w:after="0"/>
            </w:pPr>
            <w:r/>
            <w:r>
              <w:rPr>
                <w:b w:val="0"/>
              </w:rPr>
              <w:t>https://www.banxico.org.mx/tipcamb/tipCamMIAction.do?idioma=sp</w:t>
            </w:r>
          </w:p>
        </w:tc>
      </w:tr>
      <w:tr>
        <w:tc>
          <w:tcPr>
            <w:tcW w:type="dxa" w:w="5184"/>
            <w:vAlign w:val="top"/>
          </w:tcPr>
          <w:p>
            <w:pPr>
              <w:spacing w:after="0"/>
            </w:pPr>
            <w:r/>
            <w:r>
              <w:rPr>
                <w:b w:val="0"/>
              </w:rPr>
              <w:t>Banxico SIE API</w:t>
            </w:r>
          </w:p>
        </w:tc>
        <w:tc>
          <w:tcPr>
            <w:tcW w:type="dxa" w:w="5184"/>
            <w:vAlign w:val="top"/>
          </w:tcPr>
          <w:p>
            <w:pPr>
              <w:spacing w:after="0"/>
            </w:pPr>
            <w:r/>
            <w:r>
              <w:rPr>
                <w:b w:val="0"/>
              </w:rPr>
              <w:t>https://www.banxico.org.mx/SieAPIRest/service/v1/doc/series</w:t>
            </w:r>
          </w:p>
        </w:tc>
      </w:tr>
      <w:tr>
        <w:tc>
          <w:tcPr>
            <w:tcW w:type="dxa" w:w="5184"/>
            <w:vAlign w:val="top"/>
          </w:tcPr>
          <w:p>
            <w:pPr>
              <w:spacing w:after="0"/>
            </w:pPr>
            <w:r/>
            <w:r>
              <w:rPr>
                <w:b w:val="0"/>
              </w:rPr>
              <w:t>PROFEDET 2026 holidays</w:t>
            </w:r>
          </w:p>
        </w:tc>
        <w:tc>
          <w:tcPr>
            <w:tcW w:type="dxa" w:w="5184"/>
            <w:vAlign w:val="top"/>
          </w:tcPr>
          <w:p>
            <w:pPr>
              <w:spacing w:after="0"/>
            </w:pPr>
            <w:r/>
            <w:r>
              <w:rPr>
                <w:b w:val="0"/>
              </w:rPr>
              <w:t>https://www.gob.mx/profedet/articulos/sabes-cuales-son-los-dias-de-descanso-obligatorio-para-este-2026</w:t>
            </w:r>
          </w:p>
        </w:tc>
      </w:tr>
    </w:tbl>
    <w:p/>
    <w:p>
      <w:pPr>
        <w:pStyle w:val="Heading1"/>
      </w:pPr>
      <w:r>
        <w:t>21. Small Industrial Investor Layer</w:t>
      </w:r>
    </w:p>
    <w:p>
      <w:pPr/>
      <w:r>
        <w:t>This section converts the technical optimizer into a decision tool for a small industrial investor or owner-manager. The goal is to answer a practical investment question: will the BESS reduce monthly cash outflow after financing, and is the risk acceptable under conservative operating assumptions?</w:t>
      </w:r>
    </w:p>
    <w:p>
      <w:pPr/>
      <w:r>
        <w:t>The layer must simplify the output of the tariff, dispatch and finance engines into one investor-facing dashboard and one bank/investor evidence package. It should not replace the technical model; it sits on top of it and uses the optimized dispatch and reconstructed CFE bill as inputs.</w:t>
      </w:r>
    </w:p>
    <w:p>
      <w:pPr>
        <w:pStyle w:val="Heading2"/>
      </w:pPr>
      <w:r>
        <w:t>21.1 Investor decision flow</w:t>
      </w:r>
    </w:p>
    <w:p>
      <w:pPr>
        <w:pStyle w:val="CodeBlock"/>
      </w:pPr>
      <w:r>
        <w:t>[Baseline technical model]</w:t>
        <w:br/>
        <w:t xml:space="preserve">  |</w:t>
        <w:br/>
        <w:t xml:space="preserve">  v</w:t>
        <w:br/>
        <w:t>[Customer affordability inputs]</w:t>
        <w:br/>
        <w:t xml:space="preserve">  |-- monthly budget / target payback</w:t>
        <w:br/>
        <w:t xml:space="preserve">  |-- available capex or financing preference</w:t>
        <w:br/>
        <w:t xml:space="preserve">  |-- acceptable contract tenor</w:t>
        <w:br/>
        <w:t xml:space="preserve">  |-- backup/resilience priority</w:t>
        <w:br/>
        <w:t xml:space="preserve">  v</w:t>
        <w:br/>
        <w:t>[Investor sizing pre-screen]</w:t>
        <w:br/>
        <w:t xml:space="preserve">  |-- reject uneconomic BESS sizes</w:t>
        <w:br/>
        <w:t xml:space="preserve">  |-- flag rare/random peaks</w:t>
        <w:br/>
        <w:t xml:space="preserve">  |-- flag low demand-charge savings</w:t>
        <w:br/>
        <w:t xml:space="preserve">  v</w:t>
        <w:br/>
        <w:t>[Base / downside / upside investor cases]</w:t>
        <w:br/>
        <w:t xml:space="preserve">  |-- base: modeled savings with normal availability</w:t>
        <w:br/>
        <w:t xml:space="preserve">  |-- downside: tariff spread haircut + load reduction + BESS availability haircut</w:t>
        <w:br/>
        <w:t xml:space="preserve">  |-- upside: PV+BESS or higher self-consumption case</w:t>
        <w:br/>
        <w:t xml:space="preserve">  v</w:t>
        <w:br/>
        <w:t>[Monthly cash benefit calculation]</w:t>
        <w:br/>
        <w:t xml:space="preserve">  |-- CFE bill before BESS</w:t>
        <w:br/>
        <w:t xml:space="preserve">  |-- CFE bill after BESS</w:t>
        <w:br/>
        <w:t xml:space="preserve">  |-- financing or lease payment</w:t>
        <w:br/>
        <w:t xml:space="preserve">  |-- O&amp;M and insurance</w:t>
        <w:br/>
        <w:t xml:space="preserve">  |-- net monthly benefit</w:t>
        <w:br/>
        <w:t xml:space="preserve">  v</w:t>
        <w:br/>
        <w:t>[Go / revise / no-go recommendation]</w:t>
        <w:br/>
        <w:t xml:space="preserve">  |-- go: positive net benefit under bank case</w:t>
        <w:br/>
        <w:t xml:space="preserve">  |-- revise: resize BESS or change contract/payment structure</w:t>
        <w:br/>
        <w:t xml:space="preserve">  |-- no-go: payback exceeds acceptable threshold or downside is negative</w:t>
      </w:r>
    </w:p>
    <w:p>
      <w:pPr>
        <w:pStyle w:val="Heading2"/>
      </w:pPr>
      <w:r>
        <w:t>21.2 Required investor module</w:t>
      </w:r>
    </w:p>
    <w:p>
      <w:pPr/>
      <w:r>
        <w:t>Add the following module to the repository:</w:t>
      </w:r>
    </w:p>
    <w:p>
      <w:pPr>
        <w:pStyle w:val="CodeBlock"/>
      </w:pPr>
      <w:r>
        <w:t>modules/investor/</w:t>
        <w:br/>
        <w:t xml:space="preserve">  small_industry_investor.py</w:t>
        <w:br/>
        <w:t xml:space="preserve">  investor_dashboard.py</w:t>
        <w:br/>
        <w:t xml:space="preserve">  affordability.py</w:t>
        <w:br/>
        <w:t xml:space="preserve">  investor_red_flags.py</w:t>
        <w:br/>
        <w:t xml:space="preserve">  investor_case_builder.py</w:t>
      </w:r>
    </w:p>
    <w:p>
      <w:pPr/>
      <w:r>
        <w:t>Core function signatures:</w:t>
      </w:r>
    </w:p>
    <w:p>
      <w:pPr>
        <w:pStyle w:val="CodeBlock"/>
      </w:pPr>
      <w:r>
        <w:t>def build_small_industry_investor_case(</w:t>
        <w:br/>
        <w:t xml:space="preserve">    baseline_bill: dict,</w:t>
        <w:br/>
        <w:t xml:space="preserve">    optimized_bill: dict,</w:t>
        <w:br/>
        <w:t xml:space="preserve">    finance_case: dict,</w:t>
        <w:br/>
        <w:t xml:space="preserve">    customer_config: dict,</w:t>
        <w:br/>
        <w:t xml:space="preserve">    risk_assumptions: dict</w:t>
        <w:br/>
        <w:t>) -&gt; dict:</w:t>
        <w:br/>
        <w:t xml:space="preserve">    """Return base/downside/upside net monthly benefit, payback, and recommendation."""</w:t>
        <w:br/>
        <w:br/>
        <w:br/>
        <w:t>def calculate_net_monthly_benefit(</w:t>
        <w:br/>
        <w:t xml:space="preserve">    baseline_monthly_bill_mxn: float,</w:t>
        <w:br/>
        <w:t xml:space="preserve">    optimized_monthly_bill_mxn: float,</w:t>
        <w:br/>
        <w:t xml:space="preserve">    lease_or_debt_payment_mxn: float,</w:t>
        <w:br/>
        <w:t xml:space="preserve">    opex_mxn: float,</w:t>
        <w:br/>
        <w:t xml:space="preserve">    insurance_mxn: float = 0.0</w:t>
        <w:br/>
        <w:t>) -&gt; float:</w:t>
        <w:br/>
        <w:t xml:space="preserve">    """Net benefit = CFE savings - financing/payment - O&amp;M - insurance."""</w:t>
        <w:br/>
        <w:br/>
        <w:br/>
        <w:t>def detect_small_industry_red_flags(</w:t>
        <w:br/>
        <w:t xml:space="preserve">    load_profile_15min,</w:t>
        <w:br/>
        <w:t xml:space="preserve">    baseline_bill: dict,</w:t>
        <w:br/>
        <w:t xml:space="preserve">    optimized_bill: dict,</w:t>
        <w:br/>
        <w:t xml:space="preserve">    customer_config: dict,</w:t>
        <w:br/>
        <w:t xml:space="preserve">    finance_case: dict</w:t>
        <w:br/>
        <w:t>) -&gt; list[dict]:</w:t>
        <w:br/>
        <w:t xml:space="preserve">    """Return warning flags that should be shown before investment approval."""</w:t>
      </w:r>
    </w:p>
    <w:p>
      <w:pPr>
        <w:pStyle w:val="Heading2"/>
      </w:pPr>
      <w:r>
        <w:t>21.3 Investor dashboard requirements</w:t>
      </w:r>
    </w:p>
    <w:p>
      <w:pPr/>
      <w:r>
        <w:t>The UI must show a simple dashboard for an owner-manager or small industrial investor before showing detailed engineering outputs.</w:t>
      </w:r>
    </w:p>
    <w:tbl>
      <w:tblPr>
        <w:tblStyle w:val="TableGrid"/>
        <w:tblW w:type="auto" w:w="0"/>
        <w:tblLook w:firstColumn="1" w:firstRow="1" w:lastColumn="0" w:lastRow="0" w:noHBand="0" w:noVBand="1" w:val="04A0"/>
      </w:tblPr>
      <w:tblGrid>
        <w:gridCol w:w="3456"/>
        <w:gridCol w:w="3456"/>
        <w:gridCol w:w="3456"/>
      </w:tblGrid>
      <w:tr>
        <w:tc>
          <w:tcPr>
            <w:tcW w:type="dxa" w:w="3456"/>
          </w:tcPr>
          <w:p>
            <w:r>
              <w:t>Widget / KPI</w:t>
            </w:r>
          </w:p>
        </w:tc>
        <w:tc>
          <w:tcPr>
            <w:tcW w:type="dxa" w:w="3456"/>
          </w:tcPr>
          <w:p>
            <w:r>
              <w:t>Developer calculation</w:t>
            </w:r>
          </w:p>
        </w:tc>
        <w:tc>
          <w:tcPr>
            <w:tcW w:type="dxa" w:w="3456"/>
          </w:tcPr>
          <w:p>
            <w:r>
              <w:t>Investor interpretation</w:t>
            </w:r>
          </w:p>
        </w:tc>
      </w:tr>
      <w:tr>
        <w:tc>
          <w:tcPr>
            <w:tcW w:type="dxa" w:w="3456"/>
          </w:tcPr>
          <w:p>
            <w:r>
              <w:t>Monthly CFE bill before BESS</w:t>
            </w:r>
          </w:p>
        </w:tc>
        <w:tc>
          <w:tcPr>
            <w:tcW w:type="dxa" w:w="3456"/>
          </w:tcPr>
          <w:p>
            <w:r>
              <w:t>Average or selected-month baseline reconstructed bill</w:t>
            </w:r>
          </w:p>
        </w:tc>
        <w:tc>
          <w:tcPr>
            <w:tcW w:type="dxa" w:w="3456"/>
          </w:tcPr>
          <w:p>
            <w:r>
              <w:t>Current cost burden</w:t>
            </w:r>
          </w:p>
        </w:tc>
      </w:tr>
      <w:tr>
        <w:tc>
          <w:tcPr>
            <w:tcW w:type="dxa" w:w="3456"/>
          </w:tcPr>
          <w:p>
            <w:r>
              <w:t>Monthly CFE bill after BESS</w:t>
            </w:r>
          </w:p>
        </w:tc>
        <w:tc>
          <w:tcPr>
            <w:tcW w:type="dxa" w:w="3456"/>
          </w:tcPr>
          <w:p>
            <w:r>
              <w:t>Optimized bill from dispatch engine</w:t>
            </w:r>
          </w:p>
        </w:tc>
        <w:tc>
          <w:tcPr>
            <w:tcW w:type="dxa" w:w="3456"/>
          </w:tcPr>
          <w:p>
            <w:r>
              <w:t>Expected post-BESS bill</w:t>
            </w:r>
          </w:p>
        </w:tc>
      </w:tr>
      <w:tr>
        <w:tc>
          <w:tcPr>
            <w:tcW w:type="dxa" w:w="3456"/>
          </w:tcPr>
          <w:p>
            <w:r>
              <w:t>Gross monthly savings</w:t>
            </w:r>
          </w:p>
        </w:tc>
        <w:tc>
          <w:tcPr>
            <w:tcW w:type="dxa" w:w="3456"/>
          </w:tcPr>
          <w:p>
            <w:r>
              <w:t>Baseline bill - optimized bill</w:t>
            </w:r>
          </w:p>
        </w:tc>
        <w:tc>
          <w:tcPr>
            <w:tcW w:type="dxa" w:w="3456"/>
          </w:tcPr>
          <w:p>
            <w:r>
              <w:t>Technical savings before financing</w:t>
            </w:r>
          </w:p>
        </w:tc>
      </w:tr>
      <w:tr>
        <w:tc>
          <w:tcPr>
            <w:tcW w:type="dxa" w:w="3456"/>
          </w:tcPr>
          <w:p>
            <w:r>
              <w:t>Monthly lease / debt payment</w:t>
            </w:r>
          </w:p>
        </w:tc>
        <w:tc>
          <w:tcPr>
            <w:tcW w:type="dxa" w:w="3456"/>
          </w:tcPr>
          <w:p>
            <w:r>
              <w:t>Finance module amortization or user input</w:t>
            </w:r>
          </w:p>
        </w:tc>
        <w:tc>
          <w:tcPr>
            <w:tcW w:type="dxa" w:w="3456"/>
          </w:tcPr>
          <w:p>
            <w:r>
              <w:t>Required cash outflow</w:t>
            </w:r>
          </w:p>
        </w:tc>
      </w:tr>
      <w:tr>
        <w:tc>
          <w:tcPr>
            <w:tcW w:type="dxa" w:w="3456"/>
          </w:tcPr>
          <w:p>
            <w:r>
              <w:t>Net monthly benefit</w:t>
            </w:r>
          </w:p>
        </w:tc>
        <w:tc>
          <w:tcPr>
            <w:tcW w:type="dxa" w:w="3456"/>
          </w:tcPr>
          <w:p>
            <w:r>
              <w:t>Gross savings - lease/debt - O&amp;M - insurance</w:t>
            </w:r>
          </w:p>
        </w:tc>
        <w:tc>
          <w:tcPr>
            <w:tcW w:type="dxa" w:w="3456"/>
          </w:tcPr>
          <w:p>
            <w:r>
              <w:t>Actual cash improvement</w:t>
            </w:r>
          </w:p>
        </w:tc>
      </w:tr>
      <w:tr>
        <w:tc>
          <w:tcPr>
            <w:tcW w:type="dxa" w:w="3456"/>
          </w:tcPr>
          <w:p>
            <w:r>
              <w:t>Simple payback</w:t>
            </w:r>
          </w:p>
        </w:tc>
        <w:tc>
          <w:tcPr>
            <w:tcW w:type="dxa" w:w="3456"/>
          </w:tcPr>
          <w:p>
            <w:r>
              <w:t>CAPEX / annual gross savings</w:t>
            </w:r>
          </w:p>
        </w:tc>
        <w:tc>
          <w:tcPr>
            <w:tcW w:type="dxa" w:w="3456"/>
          </w:tcPr>
          <w:p>
            <w:r>
              <w:t>Unlevered investment recovery</w:t>
            </w:r>
          </w:p>
        </w:tc>
      </w:tr>
      <w:tr>
        <w:tc>
          <w:tcPr>
            <w:tcW w:type="dxa" w:w="3456"/>
          </w:tcPr>
          <w:p>
            <w:r>
              <w:t>Worst-month savings</w:t>
            </w:r>
          </w:p>
        </w:tc>
        <w:tc>
          <w:tcPr>
            <w:tcW w:type="dxa" w:w="3456"/>
          </w:tcPr>
          <w:p>
            <w:r>
              <w:t>Minimum monthly savings over 12 months</w:t>
            </w:r>
          </w:p>
        </w:tc>
        <w:tc>
          <w:tcPr>
            <w:tcW w:type="dxa" w:w="3456"/>
          </w:tcPr>
          <w:p>
            <w:r>
              <w:t>Downside seasonality risk</w:t>
            </w:r>
          </w:p>
        </w:tc>
      </w:tr>
      <w:tr>
        <w:tc>
          <w:tcPr>
            <w:tcW w:type="dxa" w:w="3456"/>
          </w:tcPr>
          <w:p>
            <w:r>
              <w:t>Backup hours available</w:t>
            </w:r>
          </w:p>
        </w:tc>
        <w:tc>
          <w:tcPr>
            <w:tcW w:type="dxa" w:w="3456"/>
          </w:tcPr>
          <w:p>
            <w:r>
              <w:t>Usable reserve kWh / critical load kW</w:t>
            </w:r>
          </w:p>
        </w:tc>
        <w:tc>
          <w:tcPr>
            <w:tcW w:type="dxa" w:w="3456"/>
          </w:tcPr>
          <w:p>
            <w:r>
              <w:t>Resilience value</w:t>
            </w:r>
          </w:p>
        </w:tc>
      </w:tr>
      <w:tr>
        <w:tc>
          <w:tcPr>
            <w:tcW w:type="dxa" w:w="3456"/>
          </w:tcPr>
          <w:p>
            <w:r>
              <w:t>Recommended BESS size</w:t>
            </w:r>
          </w:p>
        </w:tc>
        <w:tc>
          <w:tcPr>
            <w:tcW w:type="dxa" w:w="3456"/>
          </w:tcPr>
          <w:p>
            <w:r>
              <w:t>Best net benefit subject to constraints</w:t>
            </w:r>
          </w:p>
        </w:tc>
        <w:tc>
          <w:tcPr>
            <w:tcW w:type="dxa" w:w="3456"/>
          </w:tcPr>
          <w:p>
            <w:r>
              <w:t>System size to quote</w:t>
            </w:r>
          </w:p>
        </w:tc>
      </w:tr>
      <w:tr>
        <w:tc>
          <w:tcPr>
            <w:tcW w:type="dxa" w:w="3456"/>
          </w:tcPr>
          <w:p>
            <w:r>
              <w:t>Go / revise / no-go</w:t>
            </w:r>
          </w:p>
        </w:tc>
        <w:tc>
          <w:tcPr>
            <w:tcW w:type="dxa" w:w="3456"/>
          </w:tcPr>
          <w:p>
            <w:r>
              <w:t>Rule-based decision gate</w:t>
            </w:r>
          </w:p>
        </w:tc>
        <w:tc>
          <w:tcPr>
            <w:tcW w:type="dxa" w:w="3456"/>
          </w:tcPr>
          <w:p>
            <w:r>
              <w:t>Investment recommendation</w:t>
            </w:r>
          </w:p>
        </w:tc>
      </w:tr>
    </w:tbl>
    <w:p>
      <w:pPr>
        <w:pStyle w:val="Heading2"/>
      </w:pPr>
      <w:r>
        <w:t>21.4 Investor case assumptions</w:t>
      </w:r>
    </w:p>
    <w:p>
      <w:pPr/>
      <w:r>
        <w:t>The model must separate the technical case from the investor case. The investor case should apply conservative haircuts to modeled savings and should include financing cost.</w:t>
      </w:r>
    </w:p>
    <w:p>
      <w:pPr>
        <w:pStyle w:val="CodeBlock"/>
      </w:pPr>
      <w:r>
        <w:t>investor_case:</w:t>
        <w:br/>
        <w:t xml:space="preserve">  modeled_annual_savings_mxn: float</w:t>
        <w:br/>
        <w:t xml:space="preserve">  savings_confidence_haircut: 0.90</w:t>
        <w:br/>
        <w:t xml:space="preserve">  bess_availability_haircut: 0.95</w:t>
        <w:br/>
        <w:t xml:space="preserve">  collection_or_payment_haircut: 0.95</w:t>
        <w:br/>
        <w:t xml:space="preserve">  tariff_spread_haircut_downside: 0.80</w:t>
        <w:br/>
        <w:t xml:space="preserve">  load_reduction_downside: 0.80</w:t>
        <w:br/>
        <w:t xml:space="preserve">  opex_mxn_per_year: float</w:t>
        <w:br/>
        <w:t xml:space="preserve">  insurance_mxn_per_year: float</w:t>
        <w:br/>
        <w:t xml:space="preserve">  financing_type: cash_purchase | equipment_lease | bank_loan | shared_savings</w:t>
        <w:br/>
        <w:t xml:space="preserve">  tenor_years: int</w:t>
        <w:br/>
        <w:t xml:space="preserve">  interest_rate: float</w:t>
        <w:br/>
        <w:t xml:space="preserve">  residual_value_mxn: float</w:t>
        <w:br/>
        <w:t xml:space="preserve">  required_min_net_monthly_benefit_mxn: float</w:t>
        <w:br/>
        <w:t xml:space="preserve">  required_max_payback_years: float</w:t>
      </w:r>
    </w:p>
    <w:p>
      <w:pPr/>
      <w:r>
        <w:t>Bankable/investor savings should be calculated as:</w:t>
      </w:r>
    </w:p>
    <w:p>
      <w:pPr>
        <w:pStyle w:val="CodeBlock"/>
      </w:pPr>
      <w:r>
        <w:t>investor_bankable_savings = (</w:t>
        <w:br/>
        <w:t xml:space="preserve">    modeled_savings</w:t>
        <w:br/>
        <w:t xml:space="preserve">    * savings_confidence_haircut</w:t>
        <w:br/>
        <w:t xml:space="preserve">    * bess_availability_haircut</w:t>
        <w:br/>
        <w:t xml:space="preserve">    * collection_or_payment_haircut</w:t>
        <w:br/>
        <w:t>)</w:t>
        <w:br/>
        <w:br/>
        <w:t>net_monthly_benefit = (</w:t>
        <w:br/>
        <w:t xml:space="preserve">    investor_bankable_savings / 12</w:t>
        <w:br/>
        <w:t xml:space="preserve">    - monthly_lease_or_debt_payment</w:t>
        <w:br/>
        <w:t xml:space="preserve">    - monthly_opex</w:t>
        <w:br/>
        <w:t xml:space="preserve">    - monthly_insurance</w:t>
        <w:br/>
        <w:t>)</w:t>
      </w:r>
    </w:p>
    <w:p>
      <w:pPr>
        <w:pStyle w:val="Heading2"/>
      </w:pPr>
      <w:r>
        <w:t>21.5 Red-flag logic for small industrial customers</w:t>
      </w:r>
    </w:p>
    <w:p>
      <w:pPr/>
      <w:r>
        <w:t>The system must generate warnings when the project is technically possible but commercially weak for a small industrial investor.</w:t>
      </w:r>
    </w:p>
    <w:tbl>
      <w:tblPr>
        <w:tblStyle w:val="TableGrid"/>
        <w:tblW w:type="auto" w:w="0"/>
        <w:tblLook w:firstColumn="1" w:firstRow="1" w:lastColumn="0" w:lastRow="0" w:noHBand="0" w:noVBand="1" w:val="04A0"/>
      </w:tblPr>
      <w:tblGrid>
        <w:gridCol w:w="3456"/>
        <w:gridCol w:w="3456"/>
        <w:gridCol w:w="3456"/>
      </w:tblGrid>
      <w:tr>
        <w:tc>
          <w:tcPr>
            <w:tcW w:type="dxa" w:w="3456"/>
          </w:tcPr>
          <w:p>
            <w:r>
              <w:t>Red flag</w:t>
            </w:r>
          </w:p>
        </w:tc>
        <w:tc>
          <w:tcPr>
            <w:tcW w:type="dxa" w:w="3456"/>
          </w:tcPr>
          <w:p>
            <w:r>
              <w:t>Detection rule</w:t>
            </w:r>
          </w:p>
        </w:tc>
        <w:tc>
          <w:tcPr>
            <w:tcW w:type="dxa" w:w="3456"/>
          </w:tcPr>
          <w:p>
            <w:r>
              <w:t>Recommended action</w:t>
            </w:r>
          </w:p>
        </w:tc>
      </w:tr>
      <w:tr>
        <w:tc>
          <w:tcPr>
            <w:tcW w:type="dxa" w:w="3456"/>
          </w:tcPr>
          <w:p>
            <w:r>
              <w:t>Rare/random demand peaks</w:t>
            </w:r>
          </w:p>
        </w:tc>
        <w:tc>
          <w:tcPr>
            <w:tcW w:type="dxa" w:w="3456"/>
          </w:tcPr>
          <w:p>
            <w:r>
              <w:t>Top 5 peak intervals account for most savings or peak events are not repeated</w:t>
            </w:r>
          </w:p>
        </w:tc>
        <w:tc>
          <w:tcPr>
            <w:tcW w:type="dxa" w:w="3456"/>
          </w:tcPr>
          <w:p>
            <w:r>
              <w:t>Use smaller BESS or require forecast/EMS confidence haircut</w:t>
            </w:r>
          </w:p>
        </w:tc>
      </w:tr>
      <w:tr>
        <w:tc>
          <w:tcPr>
            <w:tcW w:type="dxa" w:w="3456"/>
          </w:tcPr>
          <w:p>
            <w:r>
              <w:t>Flat load profile</w:t>
            </w:r>
          </w:p>
        </w:tc>
        <w:tc>
          <w:tcPr>
            <w:tcW w:type="dxa" w:w="3456"/>
          </w:tcPr>
          <w:p>
            <w:r>
              <w:t>Dmax / average load ratio is low and demand-charge reduction is limited</w:t>
            </w:r>
          </w:p>
        </w:tc>
        <w:tc>
          <w:tcPr>
            <w:tcW w:type="dxa" w:w="3456"/>
          </w:tcPr>
          <w:p>
            <w:r>
              <w:t>Do not oversize BESS; evaluate PV self-consumption instead</w:t>
            </w:r>
          </w:p>
        </w:tc>
      </w:tr>
      <w:tr>
        <w:tc>
          <w:tcPr>
            <w:tcW w:type="dxa" w:w="3456"/>
          </w:tcPr>
          <w:p>
            <w:r>
              <w:t>Low demand charge impact</w:t>
            </w:r>
          </w:p>
        </w:tc>
        <w:tc>
          <w:tcPr>
            <w:tcW w:type="dxa" w:w="3456"/>
          </w:tcPr>
          <w:p>
            <w:r>
              <w:t>Capacity + distribution savings are less than required share of total savings</w:t>
            </w:r>
          </w:p>
        </w:tc>
        <w:tc>
          <w:tcPr>
            <w:tcW w:type="dxa" w:w="3456"/>
          </w:tcPr>
          <w:p>
            <w:r>
              <w:t>Avoid project unless energy shifting/PV savings are strong</w:t>
            </w:r>
          </w:p>
        </w:tc>
      </w:tr>
      <w:tr>
        <w:tc>
          <w:tcPr>
            <w:tcW w:type="dxa" w:w="3456"/>
          </w:tcPr>
          <w:p>
            <w:r>
              <w:t>Weak tariff spread</w:t>
            </w:r>
          </w:p>
        </w:tc>
        <w:tc>
          <w:tcPr>
            <w:tcW w:type="dxa" w:w="3456"/>
          </w:tcPr>
          <w:p>
            <w:r>
              <w:t>Peak/base spread is too small after RTE and degradation</w:t>
            </w:r>
          </w:p>
        </w:tc>
        <w:tc>
          <w:tcPr>
            <w:tcW w:type="dxa" w:w="3456"/>
          </w:tcPr>
          <w:p>
            <w:r>
              <w:t>Do not rely on energy arbitrage</w:t>
            </w:r>
          </w:p>
        </w:tc>
      </w:tr>
      <w:tr>
        <w:tc>
          <w:tcPr>
            <w:tcW w:type="dxa" w:w="3456"/>
          </w:tcPr>
          <w:p>
            <w:r>
              <w:t>Savings depend on tariff escalation</w:t>
            </w:r>
          </w:p>
        </w:tc>
        <w:tc>
          <w:tcPr>
            <w:tcW w:type="dxa" w:w="3456"/>
          </w:tcPr>
          <w:p>
            <w:r>
              <w:t>Positive IRR only under high escalation scenario</w:t>
            </w:r>
          </w:p>
        </w:tc>
        <w:tc>
          <w:tcPr>
            <w:tcW w:type="dxa" w:w="3456"/>
          </w:tcPr>
          <w:p>
            <w:r>
              <w:t>Require bank case with zero or low escalation</w:t>
            </w:r>
          </w:p>
        </w:tc>
      </w:tr>
      <w:tr>
        <w:tc>
          <w:tcPr>
            <w:tcW w:type="dxa" w:w="3456"/>
          </w:tcPr>
          <w:p>
            <w:r>
              <w:t>Payback beyond warranty</w:t>
            </w:r>
          </w:p>
        </w:tc>
        <w:tc>
          <w:tcPr>
            <w:tcW w:type="dxa" w:w="3456"/>
          </w:tcPr>
          <w:p>
            <w:r>
              <w:t>Simple payback greater than usable battery warranty period</w:t>
            </w:r>
          </w:p>
        </w:tc>
        <w:tc>
          <w:tcPr>
            <w:tcW w:type="dxa" w:w="3456"/>
          </w:tcPr>
          <w:p>
            <w:r>
              <w:t>Reject or reduce CAPEX/size</w:t>
            </w:r>
          </w:p>
        </w:tc>
      </w:tr>
      <w:tr>
        <w:tc>
          <w:tcPr>
            <w:tcW w:type="dxa" w:w="3456"/>
          </w:tcPr>
          <w:p>
            <w:r>
              <w:t>Customer weak credit</w:t>
            </w:r>
          </w:p>
        </w:tc>
        <w:tc>
          <w:tcPr>
            <w:tcW w:type="dxa" w:w="3456"/>
          </w:tcPr>
          <w:p>
            <w:r>
              <w:t>Credit score below threshold or poor CFE payment history</w:t>
            </w:r>
          </w:p>
        </w:tc>
        <w:tc>
          <w:tcPr>
            <w:tcW w:type="dxa" w:w="3456"/>
          </w:tcPr>
          <w:p>
            <w:r>
              <w:t>Require deposit, parent guarantee, or customer-owned model</w:t>
            </w:r>
          </w:p>
        </w:tc>
      </w:tr>
      <w:tr>
        <w:tc>
          <w:tcPr>
            <w:tcW w:type="dxa" w:w="3456"/>
          </w:tcPr>
          <w:p>
            <w:r>
              <w:t>Insufficient site term</w:t>
            </w:r>
          </w:p>
        </w:tc>
        <w:tc>
          <w:tcPr>
            <w:tcW w:type="dxa" w:w="3456"/>
          </w:tcPr>
          <w:p>
            <w:r>
              <w:t>Lease/site control shorter than financing tenor</w:t>
            </w:r>
          </w:p>
        </w:tc>
        <w:tc>
          <w:tcPr>
            <w:tcW w:type="dxa" w:w="3456"/>
          </w:tcPr>
          <w:p>
            <w:r>
              <w:t>Reject financing or shorten tenor</w:t>
            </w:r>
          </w:p>
        </w:tc>
      </w:tr>
      <w:tr>
        <w:tc>
          <w:tcPr>
            <w:tcW w:type="dxa" w:w="3456"/>
          </w:tcPr>
          <w:p>
            <w:r>
              <w:t>Backup reserve erodes savings</w:t>
            </w:r>
          </w:p>
        </w:tc>
        <w:tc>
          <w:tcPr>
            <w:tcW w:type="dxa" w:w="3456"/>
          </w:tcPr>
          <w:p>
            <w:r>
              <w:t>Reserve SOC materially reduces peak-shaving savings</w:t>
            </w:r>
          </w:p>
        </w:tc>
        <w:tc>
          <w:tcPr>
            <w:tcW w:type="dxa" w:w="3456"/>
          </w:tcPr>
          <w:p>
            <w:r>
              <w:t>Show separate backup vs savings trade-off</w:t>
            </w:r>
          </w:p>
        </w:tc>
      </w:tr>
      <w:tr>
        <w:tc>
          <w:tcPr>
            <w:tcW w:type="dxa" w:w="3456"/>
          </w:tcPr>
          <w:p>
            <w:r>
              <w:t>No-export compliance risk</w:t>
            </w:r>
          </w:p>
        </w:tc>
        <w:tc>
          <w:tcPr>
            <w:tcW w:type="dxa" w:w="3456"/>
          </w:tcPr>
          <w:p>
            <w:r>
              <w:t>PV+BESS dispatch produces any export in no-export mode</w:t>
            </w:r>
          </w:p>
        </w:tc>
        <w:tc>
          <w:tcPr>
            <w:tcW w:type="dxa" w:w="3456"/>
          </w:tcPr>
          <w:p>
            <w:r>
              <w:t>Modify EMS/no-export controller before approval</w:t>
            </w:r>
          </w:p>
        </w:tc>
      </w:tr>
    </w:tbl>
    <w:p>
      <w:pPr>
        <w:pStyle w:val="Heading2"/>
      </w:pPr>
      <w:r>
        <w:t>21.6 Go / revise / no-go decision rules</w:t>
      </w:r>
    </w:p>
    <w:p>
      <w:pPr/>
      <w:r>
        <w:t>Implement a deterministic recommendation engine so the output is not only descriptive.</w:t>
      </w:r>
    </w:p>
    <w:p>
      <w:pPr>
        <w:pStyle w:val="CodeBlock"/>
      </w:pPr>
      <w:r>
        <w:t>def investor_recommendation(metrics):</w:t>
        <w:br/>
        <w:t xml:space="preserve">    if metrics["data_quality_fail"]:</w:t>
        <w:br/>
        <w:t xml:space="preserve">        return "NO-GO: insufficient data quality"</w:t>
        <w:br/>
        <w:t xml:space="preserve">    if metrics["baseline_reconstruction_error_pct"] &gt; 3:</w:t>
        <w:br/>
        <w:t xml:space="preserve">        return "REVISE: baseline bill must be reconciled before investment approval"</w:t>
        <w:br/>
        <w:t xml:space="preserve">    if metrics["downside_net_monthly_benefit_mxn"] &lt; 0:</w:t>
        <w:br/>
        <w:t xml:space="preserve">        return "NO-GO: downside case has negative monthly cash benefit"</w:t>
        <w:br/>
        <w:t xml:space="preserve">    if metrics["simple_payback_years"] &gt; metrics["max_payback_years"]:</w:t>
        <w:br/>
        <w:t xml:space="preserve">        return "REVISE: resize BESS or improve commercial structure"</w:t>
        <w:br/>
        <w:t xml:space="preserve">    if metrics["payback_years"] &gt; metrics["warranty_years"]:</w:t>
        <w:br/>
        <w:t xml:space="preserve">        return "NO-GO: payback exceeds battery warranty period"</w:t>
        <w:br/>
        <w:t xml:space="preserve">    if metrics["customer_credit_score"] &lt; metrics["minimum_credit_score"]:</w:t>
        <w:br/>
        <w:t xml:space="preserve">        return "REVISE: require guarantee, deposit, or customer-owned structure"</w:t>
        <w:br/>
        <w:t xml:space="preserve">    return "GO: proceed to quote, site survey, and contract negotiation"</w:t>
      </w:r>
    </w:p>
    <w:p>
      <w:pPr>
        <w:pStyle w:val="Heading2"/>
      </w:pPr>
      <w:r>
        <w:t>21.7 Recommended commercial structures for small industry</w:t>
      </w:r>
    </w:p>
    <w:tbl>
      <w:tblPr>
        <w:tblStyle w:val="TableGrid"/>
        <w:tblW w:type="auto" w:w="0"/>
        <w:tblLook w:firstColumn="1" w:firstRow="1" w:lastColumn="0" w:lastRow="0" w:noHBand="0" w:noVBand="1" w:val="04A0"/>
      </w:tblPr>
      <w:tblGrid>
        <w:gridCol w:w="3456"/>
        <w:gridCol w:w="3456"/>
        <w:gridCol w:w="3456"/>
      </w:tblGrid>
      <w:tr>
        <w:tc>
          <w:tcPr>
            <w:tcW w:type="dxa" w:w="3456"/>
          </w:tcPr>
          <w:p>
            <w:r>
              <w:t>Structure</w:t>
            </w:r>
          </w:p>
        </w:tc>
        <w:tc>
          <w:tcPr>
            <w:tcW w:type="dxa" w:w="3456"/>
          </w:tcPr>
          <w:p>
            <w:r>
              <w:t>When to use</w:t>
            </w:r>
          </w:p>
        </w:tc>
        <w:tc>
          <w:tcPr>
            <w:tcW w:type="dxa" w:w="3456"/>
          </w:tcPr>
          <w:p>
            <w:r>
              <w:t>Model treatment</w:t>
            </w:r>
          </w:p>
        </w:tc>
      </w:tr>
      <w:tr>
        <w:tc>
          <w:tcPr>
            <w:tcW w:type="dxa" w:w="3456"/>
          </w:tcPr>
          <w:p>
            <w:r>
              <w:t>Cash purchase</w:t>
            </w:r>
          </w:p>
        </w:tc>
        <w:tc>
          <w:tcPr>
            <w:tcW w:type="dxa" w:w="3456"/>
          </w:tcPr>
          <w:p>
            <w:r>
              <w:t>Customer has capital and wants full savings</w:t>
            </w:r>
          </w:p>
        </w:tc>
        <w:tc>
          <w:tcPr>
            <w:tcW w:type="dxa" w:w="3456"/>
          </w:tcPr>
          <w:p>
            <w:r>
              <w:t>Show simple payback, IRR, and warranty risk</w:t>
            </w:r>
          </w:p>
        </w:tc>
      </w:tr>
      <w:tr>
        <w:tc>
          <w:tcPr>
            <w:tcW w:type="dxa" w:w="3456"/>
          </w:tcPr>
          <w:p>
            <w:r>
              <w:t>Equipment lease</w:t>
            </w:r>
          </w:p>
        </w:tc>
        <w:tc>
          <w:tcPr>
            <w:tcW w:type="dxa" w:w="3456"/>
          </w:tcPr>
          <w:p>
            <w:r>
              <w:t>Customer wants monthly payment and simple ownership path</w:t>
            </w:r>
          </w:p>
        </w:tc>
        <w:tc>
          <w:tcPr>
            <w:tcW w:type="dxa" w:w="3456"/>
          </w:tcPr>
          <w:p>
            <w:r>
              <w:t>Subtract lease payment from monthly savings</w:t>
            </w:r>
          </w:p>
        </w:tc>
      </w:tr>
      <w:tr>
        <w:tc>
          <w:tcPr>
            <w:tcW w:type="dxa" w:w="3456"/>
          </w:tcPr>
          <w:p>
            <w:r>
              <w:t>Bank loan</w:t>
            </w:r>
          </w:p>
        </w:tc>
        <w:tc>
          <w:tcPr>
            <w:tcW w:type="dxa" w:w="3456"/>
          </w:tcPr>
          <w:p>
            <w:r>
              <w:t>Customer or project SPV can borrow</w:t>
            </w:r>
          </w:p>
        </w:tc>
        <w:tc>
          <w:tcPr>
            <w:tcW w:type="dxa" w:w="3456"/>
          </w:tcPr>
          <w:p>
            <w:r>
              <w:t>Calculate DSCR and debt service</w:t>
            </w:r>
          </w:p>
        </w:tc>
      </w:tr>
      <w:tr>
        <w:tc>
          <w:tcPr>
            <w:tcW w:type="dxa" w:w="3456"/>
          </w:tcPr>
          <w:p>
            <w:r>
              <w:t>Shared savings</w:t>
            </w:r>
          </w:p>
        </w:tc>
        <w:tc>
          <w:tcPr>
            <w:tcW w:type="dxa" w:w="3456"/>
          </w:tcPr>
          <w:p>
            <w:r>
              <w:t>Customer avoids capex but savings must be measured</w:t>
            </w:r>
          </w:p>
        </w:tc>
        <w:tc>
          <w:tcPr>
            <w:tcW w:type="dxa" w:w="3456"/>
          </w:tcPr>
          <w:p>
            <w:r>
              <w:t>Use M&amp;V engine and split verified savings</w:t>
            </w:r>
          </w:p>
        </w:tc>
      </w:tr>
      <w:tr>
        <w:tc>
          <w:tcPr>
            <w:tcW w:type="dxa" w:w="3456"/>
          </w:tcPr>
          <w:p>
            <w:r>
              <w:t>Fixed payment + upside sharing</w:t>
            </w:r>
          </w:p>
        </w:tc>
        <w:tc>
          <w:tcPr>
            <w:tcW w:type="dxa" w:w="3456"/>
          </w:tcPr>
          <w:p>
            <w:r>
              <w:t>Best compromise for small industry</w:t>
            </w:r>
          </w:p>
        </w:tc>
        <w:tc>
          <w:tcPr>
            <w:tcW w:type="dxa" w:w="3456"/>
          </w:tcPr>
          <w:p>
            <w:r>
              <w:t>Fixed monthly payment plus optional share of savings above guarantee</w:t>
            </w:r>
          </w:p>
        </w:tc>
      </w:tr>
    </w:tbl>
    <w:p>
      <w:pPr>
        <w:pStyle w:val="Heading2"/>
      </w:pPr>
      <w:r>
        <w:t>21.8 Investor evidence package output</w:t>
      </w:r>
    </w:p>
    <w:p>
      <w:pPr/>
      <w:r>
        <w:t>Add a compact output package that can be used by the customer, investor, equipment lessor or bank credit team.</w:t>
      </w:r>
    </w:p>
    <w:p>
      <w:pPr>
        <w:pStyle w:val="CodeBlock"/>
      </w:pPr>
      <w:r>
        <w:t>outputs/investor_package/</w:t>
        <w:br/>
        <w:t xml:space="preserve">  investor_dashboard.pdf</w:t>
        <w:br/>
        <w:t xml:space="preserve">  investor_dashboard.xlsx</w:t>
        <w:br/>
        <w:t xml:space="preserve">  monthly_cash_benefit.csv</w:t>
        <w:br/>
        <w:t xml:space="preserve">  red_flags.json</w:t>
        <w:br/>
        <w:t xml:space="preserve">  recommendation_summary.json</w:t>
        <w:br/>
        <w:t xml:space="preserve">  quote_assumption_sheet.xlsx</w:t>
      </w:r>
    </w:p>
    <w:p>
      <w:pPr/>
      <w:r>
        <w:t>The investor package must include:</w:t>
      </w:r>
    </w:p>
    <w:p>
      <w:pPr>
        <w:pStyle w:val="ListBullet"/>
      </w:pPr>
      <w:r>
        <w:t>Executive one-page recommendation with BESS size, CAPEX, savings and net monthly benefit.</w:t>
      </w:r>
    </w:p>
    <w:p>
      <w:pPr>
        <w:pStyle w:val="ListBullet"/>
      </w:pPr>
      <w:r>
        <w:t>Baseline vs optimized CFE bill for each month.</w:t>
      </w:r>
    </w:p>
    <w:p>
      <w:pPr>
        <w:pStyle w:val="ListBullet"/>
      </w:pPr>
      <w:r>
        <w:t>Gross savings, net savings after financing, O&amp;M and insurance.</w:t>
      </w:r>
    </w:p>
    <w:p>
      <w:pPr>
        <w:pStyle w:val="ListBullet"/>
      </w:pPr>
      <w:r>
        <w:t>Base/downside/upside cases with all haircuts clearly shown.</w:t>
      </w:r>
    </w:p>
    <w:p>
      <w:pPr>
        <w:pStyle w:val="ListBullet"/>
      </w:pPr>
      <w:r>
        <w:t>Small-industry red flags and required mitigants.</w:t>
      </w:r>
    </w:p>
    <w:p>
      <w:pPr>
        <w:pStyle w:val="ListBullet"/>
      </w:pPr>
      <w:r>
        <w:t>Backup-reserve trade-off, if backup mode is selected.</w:t>
      </w:r>
    </w:p>
    <w:p>
      <w:pPr>
        <w:pStyle w:val="ListBullet"/>
      </w:pPr>
      <w:r>
        <w:t>No-export compliance confirmation for PV+BESS cases.</w:t>
      </w:r>
    </w:p>
    <w:p>
      <w:pPr>
        <w:pStyle w:val="ListBullet"/>
      </w:pPr>
      <w:r>
        <w:t>Go / revise / no-go recommendation.</w:t>
      </w:r>
    </w:p>
    <w:p>
      <w:pPr>
        <w:pStyle w:val="Heading2"/>
      </w:pPr>
      <w:r>
        <w:t>21.9 Updated end-to-end flow including investor layer</w:t>
      </w:r>
    </w:p>
    <w:p>
      <w:pPr>
        <w:pStyle w:val="CodeBlock"/>
      </w:pPr>
      <w:r>
        <w:t>[Upload customer data]</w:t>
        <w:br/>
        <w:t xml:space="preserve">  |</w:t>
        <w:br/>
        <w:t xml:space="preserve">  v</w:t>
        <w:br/>
        <w:t>[Validate meter data + CFE bills]</w:t>
        <w:br/>
        <w:t xml:space="preserve">  |</w:t>
        <w:br/>
        <w:t xml:space="preserve">  v</w:t>
        <w:br/>
        <w:t>[Reconstruct baseline bill]</w:t>
        <w:br/>
        <w:t xml:space="preserve">  |</w:t>
        <w:br/>
        <w:t xml:space="preserve">  v</w:t>
        <w:br/>
        <w:t>[Optimize BESS / PV+BESS dispatch]</w:t>
        <w:br/>
        <w:t xml:space="preserve">  |</w:t>
        <w:br/>
        <w:t xml:space="preserve">  v</w:t>
        <w:br/>
        <w:t>[Calculate technical savings]</w:t>
        <w:br/>
        <w:t xml:space="preserve">  |</w:t>
        <w:br/>
        <w:t xml:space="preserve">  v</w:t>
        <w:br/>
        <w:t>[Apply investor case haircuts]</w:t>
        <w:br/>
        <w:t xml:space="preserve">  |</w:t>
        <w:br/>
        <w:t xml:space="preserve">  v</w:t>
        <w:br/>
        <w:t>[Calculate lease/debt/cash-purchase economics]</w:t>
        <w:br/>
        <w:t xml:space="preserve">  |</w:t>
        <w:br/>
        <w:t xml:space="preserve">  v</w:t>
        <w:br/>
        <w:t>[Run red-flag and affordability checks]</w:t>
        <w:br/>
        <w:t xml:space="preserve">  |</w:t>
        <w:br/>
        <w:t xml:space="preserve">  v</w:t>
        <w:br/>
        <w:t>[Generate dashboard + investor package]</w:t>
        <w:br/>
        <w:t xml:space="preserve">  |</w:t>
        <w:br/>
        <w:t xml:space="preserve">  v</w:t>
        <w:br/>
        <w:t>[Decision: GO / REVISE / NO-GO]</w:t>
      </w:r>
    </w:p>
    <w:p>
      <w:pPr>
        <w:pStyle w:val="Heading2"/>
      </w:pPr>
      <w:r>
        <w:t>21.10 Additional developer acceptance criteria for investor layer</w:t>
      </w:r>
    </w:p>
    <w:p>
      <w:pPr>
        <w:pStyle w:val="ListBullet"/>
      </w:pPr>
      <w:r>
        <w:t>Given baseline and optimized bills, the investor layer calculates gross and net monthly benefit after financing, O&amp;M and insurance.</w:t>
      </w:r>
    </w:p>
    <w:p>
      <w:pPr>
        <w:pStyle w:val="ListBullet"/>
      </w:pPr>
      <w:r>
        <w:t>Given a BESS size matrix, the dashboard identifies the BESS size with the highest positive net monthly benefit subject to user constraints.</w:t>
      </w:r>
    </w:p>
    <w:p>
      <w:pPr>
        <w:pStyle w:val="ListBullet"/>
      </w:pPr>
      <w:r>
        <w:t>The system produces base, downside and upside cases and shows all haircuts used in the calculation.</w:t>
      </w:r>
    </w:p>
    <w:p>
      <w:pPr>
        <w:pStyle w:val="ListBullet"/>
      </w:pPr>
      <w:r>
        <w:t>The system flags projects where downside net monthly benefit is negative.</w:t>
      </w:r>
    </w:p>
    <w:p>
      <w:pPr>
        <w:pStyle w:val="ListBullet"/>
      </w:pPr>
      <w:r>
        <w:t>The system flags projects where payback exceeds the battery usable-capacity warranty period.</w:t>
      </w:r>
    </w:p>
    <w:p>
      <w:pPr>
        <w:pStyle w:val="ListBullet"/>
      </w:pPr>
      <w:r>
        <w:t>The system outputs an investor_dashboard.pdf and investor_dashboard.xlsx without requiring the user to inspect raw dispatch data.</w:t>
      </w:r>
    </w:p>
    <w:p>
      <w:pPr>
        <w:pStyle w:val="ListBullet"/>
      </w:pPr>
      <w:r>
        <w:t>The GO / REVISE / NO-GO recommendation must be reproducible from saved JSON metrics.</w:t>
      </w:r>
    </w:p>
    <w:p>
      <w:pPr/>
      <w:r>
        <w:t>Implementation priority: add the investor layer after the baseline bill engine and BESS optimization engine are working. It should not block the MVP technical optimizer, but it is required before the tool is used for investment decisions with small industrial customers.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Optimus_Mexico_Behind_TheMeter | Developer-ready design | Confidential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88"/>
    </w:pPr>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