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Optimus Mexico Behind-the-Meter Investor Fixes</w:t>
      </w:r>
    </w:p>
    <w:p>
      <w:pPr>
        <w:jc w:val="center"/>
      </w:pPr>
      <w:r>
        <w:rPr>
          <w:i/>
          <w:sz w:val="24"/>
        </w:rPr>
        <w:t>Developer-ready design, flow and implementation plan</w:t>
      </w:r>
    </w:p>
    <w:p>
      <w:pPr>
        <w:jc w:val="center"/>
      </w:pPr>
      <w:r>
        <w:rPr>
          <w:sz w:val="18"/>
        </w:rPr>
        <w:t>Module target: Optimus_Mexico_Behind_TheMeter | Fix package: BTM investment-grade workflow</w:t>
      </w:r>
    </w:p>
    <w:p>
      <w:r>
        <w:t>Document objective: translate the consultant/investor review into programmable changes. The fixes make the app safe for small industrial investor screening and more credible for bank/lender review. They do not replace legal, tax, credit or engineering diligence.</w:t>
      </w:r>
    </w:p>
    <w:p>
      <w:pPr>
        <w:pStyle w:val="Heading1"/>
      </w:pPr>
      <w:r>
        <w:t>1. Executive Summary</w:t>
      </w:r>
    </w:p>
    <w:p>
      <w:r>
        <w:t>The current Optimus Mexico app already includes front-of-meter node/PML/PPA/capacity tools and a Behind-the-Meter CFE module. The three critical fixes are designed to prevent users from confusing merchant revenues with behind-the-meter savings, to improve dispatch accuracy through LP optimization, and to prevent investment recommendations when the input data is synthetic or insufficient.</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Pr>
                <w:sz w:val="18"/>
              </w:rPr>
            </w:r>
            <w:r>
              <w:rPr>
                <w:b/>
                <w:sz w:val="18"/>
              </w:rPr>
              <w:t>Fix</w:t>
            </w:r>
          </w:p>
        </w:tc>
        <w:tc>
          <w:tcPr>
            <w:tcW w:type="dxa" w:w="4320"/>
            <w:vAlign w:val="top"/>
            <w:shd w:fill="D9EAF7"/>
          </w:tcPr>
          <w:p>
            <w:r>
              <w:rPr>
                <w:sz w:val="18"/>
              </w:rPr>
            </w:r>
            <w:r>
              <w:rPr>
                <w:b/>
                <w:sz w:val="18"/>
              </w:rPr>
              <w:t>Problem solved</w:t>
            </w:r>
          </w:p>
        </w:tc>
        <w:tc>
          <w:tcPr>
            <w:tcW w:type="dxa" w:w="4320"/>
            <w:vAlign w:val="top"/>
            <w:shd w:fill="D9EAF7"/>
          </w:tcPr>
          <w:p>
            <w:r>
              <w:rPr>
                <w:sz w:val="18"/>
              </w:rPr>
            </w:r>
            <w:r>
              <w:rPr>
                <w:b/>
                <w:sz w:val="18"/>
              </w:rPr>
              <w:t>Required result</w:t>
            </w:r>
          </w:p>
        </w:tc>
      </w:tr>
      <w:tr>
        <w:tc>
          <w:tcPr>
            <w:tcW w:type="dxa" w:w="2016"/>
            <w:vAlign w:val="top"/>
          </w:tcPr>
          <w:p>
            <w:r>
              <w:rPr>
                <w:sz w:val="18"/>
              </w:rPr>
            </w:r>
            <w:r>
              <w:rPr>
                <w:b w:val="0"/>
                <w:sz w:val="18"/>
              </w:rPr>
              <w:t>Fix 1 - Clean BTM Investor Workflow</w:t>
            </w:r>
          </w:p>
        </w:tc>
        <w:tc>
          <w:tcPr>
            <w:tcW w:type="dxa" w:w="4320"/>
            <w:vAlign w:val="top"/>
          </w:tcPr>
          <w:p>
            <w:r>
              <w:rPr>
                <w:sz w:val="18"/>
              </w:rPr>
            </w:r>
            <w:r>
              <w:rPr>
                <w:b w:val="0"/>
                <w:sz w:val="18"/>
              </w:rPr>
              <w:t>Merchant/PPA tools and CFE BTM tools are in the same app, which may confuse investors about revenue sources.</w:t>
            </w:r>
          </w:p>
        </w:tc>
        <w:tc>
          <w:tcPr>
            <w:tcW w:type="dxa" w:w="4320"/>
            <w:vAlign w:val="top"/>
          </w:tcPr>
          <w:p>
            <w:r>
              <w:rPr>
                <w:sz w:val="18"/>
              </w:rPr>
            </w:r>
            <w:r>
              <w:rPr>
                <w:b w:val="0"/>
                <w:sz w:val="18"/>
              </w:rPr>
              <w:t>BTM mode must show only CFE bill savings, PV self-consumption, optional backup value and financing results.</w:t>
            </w:r>
          </w:p>
        </w:tc>
      </w:tr>
      <w:tr>
        <w:tc>
          <w:tcPr>
            <w:tcW w:type="dxa" w:w="2016"/>
            <w:vAlign w:val="top"/>
          </w:tcPr>
          <w:p>
            <w:r>
              <w:rPr>
                <w:sz w:val="18"/>
              </w:rPr>
            </w:r>
            <w:r>
              <w:rPr>
                <w:b w:val="0"/>
                <w:sz w:val="18"/>
              </w:rPr>
              <w:t>Fix 2 - BTM LP Optimizer</w:t>
            </w:r>
          </w:p>
        </w:tc>
        <w:tc>
          <w:tcPr>
            <w:tcW w:type="dxa" w:w="4320"/>
            <w:vAlign w:val="top"/>
          </w:tcPr>
          <w:p>
            <w:r>
              <w:rPr>
                <w:sz w:val="18"/>
              </w:rPr>
            </w:r>
            <w:r>
              <w:rPr>
                <w:b w:val="0"/>
                <w:sz w:val="18"/>
              </w:rPr>
              <w:t>Rule-based BTM dispatch is useful for screening but not robust enough for financing-grade sizing.</w:t>
            </w:r>
          </w:p>
        </w:tc>
        <w:tc>
          <w:tcPr>
            <w:tcW w:type="dxa" w:w="4320"/>
            <w:vAlign w:val="top"/>
          </w:tcPr>
          <w:p>
            <w:r>
              <w:rPr>
                <w:sz w:val="18"/>
              </w:rPr>
            </w:r>
            <w:r>
              <w:rPr>
                <w:b w:val="0"/>
                <w:sz w:val="18"/>
              </w:rPr>
              <w:t>Add LP optimization as the bankable dispatch engine and compare rule-based, LP, operational-haircut and bankable savings.</w:t>
            </w:r>
          </w:p>
        </w:tc>
      </w:tr>
      <w:tr>
        <w:tc>
          <w:tcPr>
            <w:tcW w:type="dxa" w:w="2016"/>
            <w:vAlign w:val="top"/>
          </w:tcPr>
          <w:p>
            <w:r>
              <w:rPr>
                <w:sz w:val="18"/>
              </w:rPr>
            </w:r>
            <w:r>
              <w:rPr>
                <w:b w:val="0"/>
                <w:sz w:val="18"/>
              </w:rPr>
              <w:t>Fix 3 - Investment Readiness Gate</w:t>
            </w:r>
          </w:p>
        </w:tc>
        <w:tc>
          <w:tcPr>
            <w:tcW w:type="dxa" w:w="4320"/>
            <w:vAlign w:val="top"/>
          </w:tcPr>
          <w:p>
            <w:r>
              <w:rPr>
                <w:sz w:val="18"/>
              </w:rPr>
            </w:r>
            <w:r>
              <w:rPr>
                <w:b w:val="0"/>
                <w:sz w:val="18"/>
              </w:rPr>
              <w:t>Synthetic data and incomplete uploads can lead to false GO/NO-GO conclusions.</w:t>
            </w:r>
          </w:p>
        </w:tc>
        <w:tc>
          <w:tcPr>
            <w:tcW w:type="dxa" w:w="4320"/>
            <w:vAlign w:val="top"/>
          </w:tcPr>
          <w:p>
            <w:r>
              <w:rPr>
                <w:sz w:val="18"/>
              </w:rPr>
            </w:r>
            <w:r>
              <w:rPr>
                <w:b w:val="0"/>
                <w:sz w:val="18"/>
              </w:rPr>
              <w:t>No investor recommendation unless required bill, meter, tariff and reconciliation checks pass.</w:t>
            </w:r>
          </w:p>
        </w:tc>
      </w:tr>
    </w:tbl>
    <w:p>
      <w:pPr>
        <w:pStyle w:val="Heading1"/>
      </w:pPr>
      <w:r>
        <w:t>2. Current App Context</w:t>
      </w:r>
    </w:p>
    <w:p>
      <w:r>
        <w:t>The README indicates the current app has Node Resolver, PML Scraper, PV Loader, Dispatch, Optimizer, PPA/CFE mixed-development, Capacity, Printout and Behind-the-Meter CFE modules. The BTM module already includes tariff calendar, CFE bill reconstruction, rule-based dispatch, investor cases, red flags and GO/REVISE/NO-GO logic. The next step is to strengthen these with a strict BTM-only investor workflow, LP dispatch and data-quality gates.</w:t>
      </w:r>
    </w:p>
    <w:p>
      <w:pPr>
        <w:pStyle w:val="Heading1"/>
      </w:pPr>
      <w:r>
        <w:t>3. Target User Journeys After Fixes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r>
              <w:rPr>
                <w:sz w:val="18"/>
              </w:rPr>
            </w:r>
            <w:r>
              <w:rPr>
                <w:b/>
                <w:sz w:val="18"/>
              </w:rPr>
              <w:t>User</w:t>
            </w:r>
          </w:p>
        </w:tc>
        <w:tc>
          <w:tcPr>
            <w:tcW w:type="dxa" w:w="4320"/>
            <w:vAlign w:val="top"/>
            <w:shd w:fill="D9EAF7"/>
          </w:tcPr>
          <w:p>
            <w:r>
              <w:rPr>
                <w:sz w:val="18"/>
              </w:rPr>
            </w:r>
            <w:r>
              <w:rPr>
                <w:b/>
                <w:sz w:val="18"/>
              </w:rPr>
              <w:t>Journey</w:t>
            </w:r>
          </w:p>
        </w:tc>
        <w:tc>
          <w:tcPr>
            <w:tcW w:type="dxa" w:w="4608"/>
            <w:vAlign w:val="top"/>
            <w:shd w:fill="D9EAF7"/>
          </w:tcPr>
          <w:p>
            <w:r>
              <w:rPr>
                <w:sz w:val="18"/>
              </w:rPr>
            </w:r>
            <w:r>
              <w:rPr>
                <w:b/>
                <w:sz w:val="18"/>
              </w:rPr>
              <w:t>Expected app behavior</w:t>
            </w:r>
          </w:p>
        </w:tc>
      </w:tr>
      <w:tr>
        <w:tc>
          <w:tcPr>
            <w:tcW w:type="dxa" w:w="2160"/>
            <w:vAlign w:val="top"/>
          </w:tcPr>
          <w:p>
            <w:r>
              <w:rPr>
                <w:sz w:val="18"/>
              </w:rPr>
            </w:r>
            <w:r>
              <w:rPr>
                <w:b w:val="0"/>
                <w:sz w:val="18"/>
              </w:rPr>
              <w:t>Small industrial customer</w:t>
            </w:r>
          </w:p>
        </w:tc>
        <w:tc>
          <w:tcPr>
            <w:tcW w:type="dxa" w:w="4320"/>
            <w:vAlign w:val="top"/>
          </w:tcPr>
          <w:p>
            <w:r>
              <w:rPr>
                <w:sz w:val="18"/>
              </w:rPr>
            </w:r>
            <w:r>
              <w:rPr>
                <w:b w:val="0"/>
                <w:sz w:val="18"/>
              </w:rPr>
              <w:t>Wants to know if a BESS reduces monthly CFE bill and whether lease payment is affordable.</w:t>
            </w:r>
          </w:p>
        </w:tc>
        <w:tc>
          <w:tcPr>
            <w:tcW w:type="dxa" w:w="4608"/>
            <w:vAlign w:val="top"/>
          </w:tcPr>
          <w:p>
            <w:r>
              <w:rPr>
                <w:sz w:val="18"/>
              </w:rPr>
            </w:r>
            <w:r>
              <w:rPr>
                <w:b w:val="0"/>
                <w:sz w:val="18"/>
              </w:rPr>
              <w:t>Show simple dashboard: bill before/after, monthly payment, net monthly benefit, payback, red flags and required next documents.</w:t>
            </w:r>
          </w:p>
        </w:tc>
      </w:tr>
      <w:tr>
        <w:tc>
          <w:tcPr>
            <w:tcW w:type="dxa" w:w="2160"/>
            <w:vAlign w:val="top"/>
          </w:tcPr>
          <w:p>
            <w:r>
              <w:rPr>
                <w:sz w:val="18"/>
              </w:rPr>
            </w:r>
            <w:r>
              <w:rPr>
                <w:b w:val="0"/>
                <w:sz w:val="18"/>
              </w:rPr>
              <w:t>Investor / ESCO</w:t>
            </w:r>
          </w:p>
        </w:tc>
        <w:tc>
          <w:tcPr>
            <w:tcW w:type="dxa" w:w="4320"/>
            <w:vAlign w:val="top"/>
          </w:tcPr>
          <w:p>
            <w:r>
              <w:rPr>
                <w:sz w:val="18"/>
              </w:rPr>
            </w:r>
            <w:r>
              <w:rPr>
                <w:b w:val="0"/>
                <w:sz w:val="18"/>
              </w:rPr>
              <w:t>Wants to underwrite host-site project economics.</w:t>
            </w:r>
          </w:p>
        </w:tc>
        <w:tc>
          <w:tcPr>
            <w:tcW w:type="dxa" w:w="4608"/>
            <w:vAlign w:val="top"/>
          </w:tcPr>
          <w:p>
            <w:r>
              <w:rPr>
                <w:sz w:val="18"/>
              </w:rPr>
            </w:r>
            <w:r>
              <w:rPr>
                <w:b w:val="0"/>
                <w:sz w:val="18"/>
              </w:rPr>
              <w:t>Show base/downside/upside case, bankable savings, data readiness, DSCR proxy, NPV/IRR and contract structure.</w:t>
            </w:r>
          </w:p>
        </w:tc>
      </w:tr>
      <w:tr>
        <w:tc>
          <w:tcPr>
            <w:tcW w:type="dxa" w:w="2160"/>
            <w:vAlign w:val="top"/>
          </w:tcPr>
          <w:p>
            <w:r>
              <w:rPr>
                <w:sz w:val="18"/>
              </w:rPr>
            </w:r>
            <w:r>
              <w:rPr>
                <w:b w:val="0"/>
                <w:sz w:val="18"/>
              </w:rPr>
              <w:t>Bank / lender</w:t>
            </w:r>
          </w:p>
        </w:tc>
        <w:tc>
          <w:tcPr>
            <w:tcW w:type="dxa" w:w="4320"/>
            <w:vAlign w:val="top"/>
          </w:tcPr>
          <w:p>
            <w:r>
              <w:rPr>
                <w:sz w:val="18"/>
              </w:rPr>
            </w:r>
            <w:r>
              <w:rPr>
                <w:b w:val="0"/>
                <w:sz w:val="18"/>
              </w:rPr>
              <w:t>Wants conservative cash flow and evidence package.</w:t>
            </w:r>
          </w:p>
        </w:tc>
        <w:tc>
          <w:tcPr>
            <w:tcW w:type="dxa" w:w="4608"/>
            <w:vAlign w:val="top"/>
          </w:tcPr>
          <w:p>
            <w:r>
              <w:rPr>
                <w:sz w:val="18"/>
              </w:rPr>
            </w:r>
            <w:r>
              <w:rPr>
                <w:b w:val="0"/>
                <w:sz w:val="18"/>
              </w:rPr>
              <w:t>Show investment-ready status, reconciliation error, bankable savings haircuts, debt-service capacity and audit trail.</w:t>
            </w:r>
          </w:p>
        </w:tc>
      </w:tr>
      <w:tr>
        <w:tc>
          <w:tcPr>
            <w:tcW w:type="dxa" w:w="2160"/>
            <w:vAlign w:val="top"/>
          </w:tcPr>
          <w:p>
            <w:r>
              <w:rPr>
                <w:sz w:val="18"/>
              </w:rPr>
            </w:r>
            <w:r>
              <w:rPr>
                <w:b w:val="0"/>
                <w:sz w:val="18"/>
              </w:rPr>
              <w:t>Technical advisor</w:t>
            </w:r>
          </w:p>
        </w:tc>
        <w:tc>
          <w:tcPr>
            <w:tcW w:type="dxa" w:w="4320"/>
            <w:vAlign w:val="top"/>
          </w:tcPr>
          <w:p>
            <w:r>
              <w:rPr>
                <w:sz w:val="18"/>
              </w:rPr>
            </w:r>
            <w:r>
              <w:rPr>
                <w:b w:val="0"/>
                <w:sz w:val="18"/>
              </w:rPr>
              <w:t>Wants dispatch auditability.</w:t>
            </w:r>
          </w:p>
        </w:tc>
        <w:tc>
          <w:tcPr>
            <w:tcW w:type="dxa" w:w="4608"/>
            <w:vAlign w:val="top"/>
          </w:tcPr>
          <w:p>
            <w:r>
              <w:rPr>
                <w:sz w:val="18"/>
              </w:rPr>
            </w:r>
            <w:r>
              <w:rPr>
                <w:b w:val="0"/>
                <w:sz w:val="18"/>
              </w:rPr>
              <w:t>Show LP objective, constraints, SOC, import cap, demand peaks and settlement intervals.</w:t>
            </w:r>
          </w:p>
        </w:tc>
      </w:tr>
    </w:tbl>
    <w:p>
      <w:pPr>
        <w:pStyle w:val="Heading1"/>
      </w:pPr>
      <w:r>
        <w:t>4. Fix 1 - Separate Bankable BTM Investor Case from Merchant/PPA Logic</w:t>
      </w:r>
    </w:p>
    <w:p>
      <w:pPr>
        <w:pStyle w:val="Heading2"/>
      </w:pPr>
      <w:r>
        <w:t>4.1 Design intent</w:t>
      </w:r>
    </w:p>
    <w:p>
      <w:r>
        <w:t>When project_mode = BTM_CFE, the app must disable merchant/PML/PPA/CENACE capacity revenue streams. Behind-the-meter investment should be based on avoided CFE bill components, PV self-consumption and optional backup/resilience value only.</w:t>
      </w:r>
    </w:p>
    <w:p>
      <w:pPr>
        <w:pStyle w:val="Heading2"/>
      </w:pPr>
      <w:r>
        <w:t>4.2 Navigation change</w:t>
      </w:r>
    </w:p>
    <w:p>
      <w:pPr>
        <w:pStyle w:val="CodeBlock"/>
      </w:pPr>
      <w:r>
        <w:rPr>
          <w:rFonts w:ascii="Consolas" w:hAnsi="Consolas"/>
          <w:sz w:val="16"/>
        </w:rPr>
        <w:t>Top navigation:</w:t>
        <w:br/>
        <w:t>How it works | 0. Node Resolver | 1. Front-of-Meter Dispatch + PPA + Capacity | 2. Behind-the-Meter (CFE)</w:t>
        <w:br/>
        <w:br/>
        <w:t>Inside 2. Behind-the-Meter (CFE):</w:t>
        <w:br/>
        <w:t xml:space="preserve">  A. Screening Case</w:t>
        <w:br/>
        <w:t xml:space="preserve">  B. Bankable Investor Case</w:t>
        <w:br/>
        <w:t xml:space="preserve">  C. Customer Proposal Case</w:t>
        <w:br/>
        <w:t xml:space="preserve">  D. Technical Dispatch Detail</w:t>
      </w:r>
    </w:p>
    <w:p>
      <w:pPr>
        <w:pStyle w:val="Heading2"/>
      </w:pPr>
      <w:r>
        <w:t>4.3 Developer implementation</w:t>
      </w:r>
    </w:p>
    <w:tbl>
      <w:tblPr>
        <w:tblStyle w:val="TableGrid"/>
        <w:tblW w:type="auto" w:w="0"/>
        <w:jc w:val="center"/>
        <w:tblLook w:firstColumn="1" w:firstRow="1" w:lastColumn="0" w:lastRow="0" w:noHBand="0" w:noVBand="1" w:val="04A0"/>
      </w:tblPr>
      <w:tblGrid>
        <w:gridCol w:w="5184"/>
        <w:gridCol w:w="5184"/>
      </w:tblGrid>
      <w:tr>
        <w:tc>
          <w:tcPr>
            <w:tcW w:type="dxa" w:w="3312"/>
            <w:vAlign w:val="top"/>
            <w:shd w:fill="D9EAF7"/>
          </w:tcPr>
          <w:p>
            <w:r>
              <w:rPr>
                <w:sz w:val="18"/>
              </w:rPr>
            </w:r>
            <w:r>
              <w:rPr>
                <w:b/>
                <w:sz w:val="18"/>
              </w:rPr>
              <w:t>File</w:t>
            </w:r>
          </w:p>
        </w:tc>
        <w:tc>
          <w:tcPr>
            <w:tcW w:type="dxa" w:w="7200"/>
            <w:vAlign w:val="top"/>
            <w:shd w:fill="D9EAF7"/>
          </w:tcPr>
          <w:p>
            <w:r>
              <w:rPr>
                <w:sz w:val="18"/>
              </w:rPr>
            </w:r>
            <w:r>
              <w:rPr>
                <w:b/>
                <w:sz w:val="18"/>
              </w:rPr>
              <w:t>Action</w:t>
            </w:r>
          </w:p>
        </w:tc>
      </w:tr>
      <w:tr>
        <w:tc>
          <w:tcPr>
            <w:tcW w:type="dxa" w:w="3312"/>
            <w:vAlign w:val="top"/>
          </w:tcPr>
          <w:p>
            <w:r>
              <w:rPr>
                <w:sz w:val="18"/>
              </w:rPr>
            </w:r>
            <w:r>
              <w:rPr>
                <w:b w:val="0"/>
                <w:sz w:val="18"/>
              </w:rPr>
              <w:t>app.py</w:t>
            </w:r>
          </w:p>
        </w:tc>
        <w:tc>
          <w:tcPr>
            <w:tcW w:type="dxa" w:w="7200"/>
            <w:vAlign w:val="top"/>
          </w:tcPr>
          <w:p>
            <w:r>
              <w:rPr>
                <w:sz w:val="18"/>
              </w:rPr>
            </w:r>
            <w:r>
              <w:rPr>
                <w:b w:val="0"/>
                <w:sz w:val="18"/>
              </w:rPr>
              <w:t>Add BTM sub-navigation and route state using st.session_state["btm_submodule"].</w:t>
            </w:r>
          </w:p>
        </w:tc>
      </w:tr>
      <w:tr>
        <w:tc>
          <w:tcPr>
            <w:tcW w:type="dxa" w:w="3312"/>
            <w:vAlign w:val="top"/>
          </w:tcPr>
          <w:p>
            <w:r>
              <w:rPr>
                <w:sz w:val="18"/>
              </w:rPr>
            </w:r>
            <w:r>
              <w:rPr>
                <w:b w:val="0"/>
                <w:sz w:val="18"/>
              </w:rPr>
              <w:t>agents/btm_revenue_guard.py</w:t>
            </w:r>
          </w:p>
        </w:tc>
        <w:tc>
          <w:tcPr>
            <w:tcW w:type="dxa" w:w="7200"/>
            <w:vAlign w:val="top"/>
          </w:tcPr>
          <w:p>
            <w:r>
              <w:rPr>
                <w:sz w:val="18"/>
              </w:rPr>
            </w:r>
            <w:r>
              <w:rPr>
                <w:b w:val="0"/>
                <w:sz w:val="18"/>
              </w:rPr>
              <w:t>New guard to disable non-BTM revenue streams when project_mode == BTM_CFE.</w:t>
            </w:r>
          </w:p>
        </w:tc>
      </w:tr>
      <w:tr>
        <w:tc>
          <w:tcPr>
            <w:tcW w:type="dxa" w:w="3312"/>
            <w:vAlign w:val="top"/>
          </w:tcPr>
          <w:p>
            <w:r>
              <w:rPr>
                <w:sz w:val="18"/>
              </w:rPr>
            </w:r>
            <w:r>
              <w:rPr>
                <w:b w:val="0"/>
                <w:sz w:val="18"/>
              </w:rPr>
              <w:t>agents/btm_investor_agent.py</w:t>
            </w:r>
          </w:p>
        </w:tc>
        <w:tc>
          <w:tcPr>
            <w:tcW w:type="dxa" w:w="7200"/>
            <w:vAlign w:val="top"/>
          </w:tcPr>
          <w:p>
            <w:r>
              <w:rPr>
                <w:sz w:val="18"/>
              </w:rPr>
            </w:r>
            <w:r>
              <w:rPr>
                <w:b w:val="0"/>
                <w:sz w:val="18"/>
              </w:rPr>
              <w:t>Use only allowed BTM value streams in investor cases.</w:t>
            </w:r>
          </w:p>
        </w:tc>
      </w:tr>
      <w:tr>
        <w:tc>
          <w:tcPr>
            <w:tcW w:type="dxa" w:w="3312"/>
            <w:vAlign w:val="top"/>
          </w:tcPr>
          <w:p>
            <w:r>
              <w:rPr>
                <w:sz w:val="18"/>
              </w:rPr>
            </w:r>
            <w:r>
              <w:rPr>
                <w:b w:val="0"/>
                <w:sz w:val="18"/>
              </w:rPr>
              <w:t>agents/printout_agent.py</w:t>
            </w:r>
          </w:p>
        </w:tc>
        <w:tc>
          <w:tcPr>
            <w:tcW w:type="dxa" w:w="7200"/>
            <w:vAlign w:val="top"/>
          </w:tcPr>
          <w:p>
            <w:r>
              <w:rPr>
                <w:sz w:val="18"/>
              </w:rPr>
            </w:r>
            <w:r>
              <w:rPr>
                <w:b w:val="0"/>
                <w:sz w:val="18"/>
              </w:rPr>
              <w:t>Create BTM-specific investor report template without merchant/PPA/capacity revenue sections.</w:t>
            </w:r>
          </w:p>
        </w:tc>
      </w:tr>
    </w:tbl>
    <w:p>
      <w:pPr>
        <w:pStyle w:val="CodeBlock"/>
      </w:pPr>
      <w:r>
        <w:rPr>
          <w:rFonts w:ascii="Consolas" w:hAnsi="Consolas"/>
          <w:sz w:val="16"/>
        </w:rPr>
        <w:t># agents/btm_revenue_guard.py</w:t>
        <w:br/>
        <w:t>ALLOWED_BTM_VALUE_STREAMS = [</w:t>
        <w:br/>
        <w:t xml:space="preserve">    "cfe_energy_savings",</w:t>
        <w:br/>
        <w:t xml:space="preserve">    "cfe_capacity_savings",</w:t>
        <w:br/>
        <w:t xml:space="preserve">    "cfe_distribution_savings",</w:t>
        <w:br/>
        <w:t xml:space="preserve">    "pv_self_consumption_value",</w:t>
        <w:br/>
        <w:t xml:space="preserve">    "backup_value_optional"</w:t>
        <w:br/>
        <w:t>]</w:t>
        <w:br/>
        <w:br/>
        <w:t>DISABLED_IN_BTM = [</w:t>
        <w:br/>
        <w:t xml:space="preserve">    "pml_merchant_revenue",</w:t>
        <w:br/>
        <w:t xml:space="preserve">    "ppa_revenue",</w:t>
        <w:br/>
        <w:t xml:space="preserve">    "cenace_capacity_revenue",</w:t>
        <w:br/>
        <w:t xml:space="preserve">    "ancillary_services_revenue"</w:t>
        <w:br/>
        <w:t>]</w:t>
        <w:br/>
        <w:br/>
        <w:t>def enforce_btm_revenue_scope(project_mode: str, selected_streams: list[str]) -&gt; dict:</w:t>
        <w:br/>
        <w:t xml:space="preserve">    disabled = []</w:t>
        <w:br/>
        <w:t xml:space="preserve">    allowed = selected_streams</w:t>
        <w:br/>
        <w:t xml:space="preserve">    if project_mode == "BTM_CFE":</w:t>
        <w:br/>
        <w:t xml:space="preserve">        disabled = [s for s in selected_streams if s in DISABLED_IN_BTM]</w:t>
        <w:br/>
        <w:t xml:space="preserve">        allowed = [s for s in selected_streams if s in ALLOWED_BTM_VALUE_STREAMS]</w:t>
        <w:br/>
        <w:t xml:space="preserve">    return {</w:t>
        <w:br/>
        <w:t xml:space="preserve">        "allowed_streams": allowed,</w:t>
        <w:br/>
        <w:t xml:space="preserve">        "disabled_streams": disabled,</w:t>
        <w:br/>
        <w:t xml:space="preserve">        "is_valid": len(disabled) == 0,</w:t>
        <w:br/>
        <w:t xml:space="preserve">        "message": "BTM_CFE mode excludes merchant/PPA/CENACE capacity revenues." if disabled else "OK"</w:t>
        <w:br/>
        <w:t xml:space="preserve">    }</w:t>
      </w:r>
    </w:p>
    <w:p>
      <w:pPr>
        <w:pStyle w:val="Heading2"/>
      </w:pPr>
      <w:r>
        <w:t>4.4 Flow</w:t>
      </w:r>
    </w:p>
    <w:p>
      <w:pPr>
        <w:pStyle w:val="CodeBlock"/>
      </w:pPr>
      <w:r>
        <w:rPr>
          <w:rFonts w:ascii="Consolas" w:hAnsi="Consolas"/>
          <w:sz w:val="16"/>
        </w:rPr>
        <w:t>User selects module 2. Behind-the-Meter (CFE)</w:t>
        <w:br/>
        <w:t xml:space="preserve">        ↓</w:t>
        <w:br/>
        <w:t>Set project_mode = BTM_CFE</w:t>
        <w:br/>
        <w:t xml:space="preserve">        ↓</w:t>
        <w:br/>
        <w:t>Run btm_revenue_guard.enforce_btm_revenue_scope()</w:t>
        <w:br/>
        <w:t xml:space="preserve">        ↓</w:t>
        <w:br/>
        <w:t>Hide/disable PML merchant, PPA and CENACE capacity controls</w:t>
        <w:br/>
        <w:t xml:space="preserve">        ↓</w:t>
        <w:br/>
        <w:t>Show BTM-only value streams and investor case</w:t>
        <w:br/>
        <w:t xml:space="preserve">        ↓</w:t>
        <w:br/>
        <w:t>Generate BTM-only reports</w:t>
      </w:r>
    </w:p>
    <w:p>
      <w:pPr>
        <w:pStyle w:val="Heading2"/>
      </w:pPr>
      <w:r>
        <w:t>4.5 Acceptance criteria</w:t>
      </w:r>
    </w:p>
    <w:tbl>
      <w:tblPr>
        <w:tblStyle w:val="TableGrid"/>
        <w:tblW w:type="auto" w:w="0"/>
        <w:jc w:val="center"/>
        <w:tblLook w:firstColumn="1" w:firstRow="1" w:lastColumn="0" w:lastRow="0" w:noHBand="0" w:noVBand="1" w:val="04A0"/>
      </w:tblPr>
      <w:tblGrid>
        <w:gridCol w:w="5184"/>
        <w:gridCol w:w="5184"/>
      </w:tblGrid>
      <w:tr>
        <w:tc>
          <w:tcPr>
            <w:tcW w:type="dxa" w:w="1440"/>
            <w:vAlign w:val="top"/>
            <w:shd w:fill="D9EAF7"/>
          </w:tcPr>
          <w:p>
            <w:r>
              <w:rPr>
                <w:sz w:val="18"/>
              </w:rPr>
            </w:r>
            <w:r>
              <w:rPr>
                <w:b/>
                <w:sz w:val="18"/>
              </w:rPr>
              <w:t>ID</w:t>
            </w:r>
          </w:p>
        </w:tc>
        <w:tc>
          <w:tcPr>
            <w:tcW w:type="dxa" w:w="9216"/>
            <w:vAlign w:val="top"/>
            <w:shd w:fill="D9EAF7"/>
          </w:tcPr>
          <w:p>
            <w:r>
              <w:rPr>
                <w:sz w:val="18"/>
              </w:rPr>
            </w:r>
            <w:r>
              <w:rPr>
                <w:b/>
                <w:sz w:val="18"/>
              </w:rPr>
              <w:t>Test</w:t>
            </w:r>
          </w:p>
        </w:tc>
      </w:tr>
      <w:tr>
        <w:tc>
          <w:tcPr>
            <w:tcW w:type="dxa" w:w="1440"/>
            <w:vAlign w:val="top"/>
          </w:tcPr>
          <w:p>
            <w:r>
              <w:rPr>
                <w:sz w:val="18"/>
              </w:rPr>
            </w:r>
            <w:r>
              <w:rPr>
                <w:b w:val="0"/>
                <w:sz w:val="18"/>
              </w:rPr>
              <w:t>F1-A</w:t>
            </w:r>
          </w:p>
        </w:tc>
        <w:tc>
          <w:tcPr>
            <w:tcW w:type="dxa" w:w="9216"/>
            <w:vAlign w:val="top"/>
          </w:tcPr>
          <w:p>
            <w:r>
              <w:rPr>
                <w:sz w:val="18"/>
              </w:rPr>
            </w:r>
            <w:r>
              <w:rPr>
                <w:b w:val="0"/>
                <w:sz w:val="18"/>
              </w:rPr>
              <w:t>In BTM_CFE mode, PML merchant, PPA and CENACE capacity inputs are hidden or disabled.</w:t>
            </w:r>
          </w:p>
        </w:tc>
      </w:tr>
      <w:tr>
        <w:tc>
          <w:tcPr>
            <w:tcW w:type="dxa" w:w="1440"/>
            <w:vAlign w:val="top"/>
          </w:tcPr>
          <w:p>
            <w:r>
              <w:rPr>
                <w:sz w:val="18"/>
              </w:rPr>
            </w:r>
            <w:r>
              <w:rPr>
                <w:b w:val="0"/>
                <w:sz w:val="18"/>
              </w:rPr>
              <w:t>F1-B</w:t>
            </w:r>
          </w:p>
        </w:tc>
        <w:tc>
          <w:tcPr>
            <w:tcW w:type="dxa" w:w="9216"/>
            <w:vAlign w:val="top"/>
          </w:tcPr>
          <w:p>
            <w:r>
              <w:rPr>
                <w:sz w:val="18"/>
              </w:rPr>
            </w:r>
            <w:r>
              <w:rPr>
                <w:b w:val="0"/>
                <w:sz w:val="18"/>
              </w:rPr>
              <w:t>If an API/CLI user passes merchant revenue streams to BTM_CFE, the guard removes them and returns a warning.</w:t>
            </w:r>
          </w:p>
        </w:tc>
      </w:tr>
      <w:tr>
        <w:tc>
          <w:tcPr>
            <w:tcW w:type="dxa" w:w="1440"/>
            <w:vAlign w:val="top"/>
          </w:tcPr>
          <w:p>
            <w:r>
              <w:rPr>
                <w:sz w:val="18"/>
              </w:rPr>
            </w:r>
            <w:r>
              <w:rPr>
                <w:b w:val="0"/>
                <w:sz w:val="18"/>
              </w:rPr>
              <w:t>F1-C</w:t>
            </w:r>
          </w:p>
        </w:tc>
        <w:tc>
          <w:tcPr>
            <w:tcW w:type="dxa" w:w="9216"/>
            <w:vAlign w:val="top"/>
          </w:tcPr>
          <w:p>
            <w:r>
              <w:rPr>
                <w:sz w:val="18"/>
              </w:rPr>
            </w:r>
            <w:r>
              <w:rPr>
                <w:b w:val="0"/>
                <w:sz w:val="18"/>
              </w:rPr>
              <w:t>BTM investor report contains only CFE bill savings, PV self-consumption, optional backup value and financing metrics.</w:t>
            </w:r>
          </w:p>
        </w:tc>
      </w:tr>
      <w:tr>
        <w:tc>
          <w:tcPr>
            <w:tcW w:type="dxa" w:w="1440"/>
            <w:vAlign w:val="top"/>
          </w:tcPr>
          <w:p>
            <w:r>
              <w:rPr>
                <w:sz w:val="18"/>
              </w:rPr>
            </w:r>
            <w:r>
              <w:rPr>
                <w:b w:val="0"/>
                <w:sz w:val="18"/>
              </w:rPr>
              <w:t>F1-D</w:t>
            </w:r>
          </w:p>
        </w:tc>
        <w:tc>
          <w:tcPr>
            <w:tcW w:type="dxa" w:w="9216"/>
            <w:vAlign w:val="top"/>
          </w:tcPr>
          <w:p>
            <w:r>
              <w:rPr>
                <w:sz w:val="18"/>
              </w:rPr>
            </w:r>
            <w:r>
              <w:rPr>
                <w:b w:val="0"/>
                <w:sz w:val="18"/>
              </w:rPr>
              <w:t>Front-of-meter module remains unchanged.</w:t>
            </w:r>
          </w:p>
        </w:tc>
      </w:tr>
    </w:tbl>
    <w:p>
      <w:pPr>
        <w:pStyle w:val="Heading1"/>
      </w:pPr>
      <w:r>
        <w:t>5. Fix 2 - Add LP Optimizer as Bankable BTM Dispatch Engine</w:t>
      </w:r>
    </w:p>
    <w:p>
      <w:pPr>
        <w:pStyle w:val="Heading2"/>
      </w:pPr>
      <w:r>
        <w:t>5.1 Design intent</w:t>
      </w:r>
    </w:p>
    <w:p>
      <w:r>
        <w:t>Rule-based dispatch remains as a fast screening engine. The new LP optimizer becomes the default for Bankable Investor Case. It must jointly optimize demand charge reduction, energy period shifting, PV self-consumption, no-export compliance, degradation cost and optional reserve SOC.</w:t>
      </w:r>
    </w:p>
    <w:p>
      <w:pPr>
        <w:pStyle w:val="Heading2"/>
      </w:pPr>
      <w:r>
        <w:t>5.2 New file</w:t>
      </w:r>
    </w:p>
    <w:p>
      <w:pPr>
        <w:pStyle w:val="CodeBlock"/>
      </w:pPr>
      <w:r>
        <w:rPr>
          <w:rFonts w:ascii="Consolas" w:hAnsi="Consolas"/>
          <w:sz w:val="16"/>
        </w:rPr>
        <w:t>agents/btm_lp_optimizer_agent.py</w:t>
      </w:r>
    </w:p>
    <w:p>
      <w:pPr>
        <w:pStyle w:val="Heading2"/>
      </w:pPr>
      <w:r>
        <w:t>5.3 LP objective</w:t>
      </w:r>
    </w:p>
    <w:p>
      <w:pPr>
        <w:pStyle w:val="CodeBlock"/>
      </w:pPr>
      <w:r>
        <w:rPr>
          <w:rFonts w:ascii="Consolas" w:hAnsi="Consolas"/>
          <w:sz w:val="16"/>
        </w:rPr>
        <w:t>Minimize:</w:t>
        <w:br/>
        <w:t xml:space="preserve">  total_energy_charge_mxn</w:t>
        <w:br/>
        <w:t>+ capacity_charge_mxn</w:t>
        <w:br/>
        <w:t>+ distribution_charge_mxn</w:t>
        <w:br/>
        <w:t>+ degradation_cost_mxn</w:t>
        <w:br/>
        <w:t>+ optional_backup_reserve_penalty</w:t>
        <w:br/>
        <w:t>+ optional_unserved_energy_penalty</w:t>
      </w:r>
    </w:p>
    <w:p>
      <w:pPr>
        <w:pStyle w:val="Heading2"/>
      </w:pPr>
      <w:r>
        <w:t>5.4 Decision variables</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top"/>
            <w:shd w:fill="D9EAF7"/>
          </w:tcPr>
          <w:p>
            <w:r>
              <w:rPr>
                <w:sz w:val="18"/>
              </w:rPr>
            </w:r>
            <w:r>
              <w:rPr>
                <w:b/>
                <w:sz w:val="18"/>
              </w:rPr>
              <w:t>Variable</w:t>
            </w:r>
          </w:p>
        </w:tc>
        <w:tc>
          <w:tcPr>
            <w:tcW w:type="dxa" w:w="1152"/>
            <w:vAlign w:val="top"/>
            <w:shd w:fill="D9EAF7"/>
          </w:tcPr>
          <w:p>
            <w:r>
              <w:rPr>
                <w:sz w:val="18"/>
              </w:rPr>
            </w:r>
            <w:r>
              <w:rPr>
                <w:b/>
                <w:sz w:val="18"/>
              </w:rPr>
              <w:t>Unit</w:t>
            </w:r>
          </w:p>
        </w:tc>
        <w:tc>
          <w:tcPr>
            <w:tcW w:type="dxa" w:w="6480"/>
            <w:vAlign w:val="top"/>
            <w:shd w:fill="D9EAF7"/>
          </w:tcPr>
          <w:p>
            <w:r>
              <w:rPr>
                <w:sz w:val="18"/>
              </w:rPr>
            </w:r>
            <w:r>
              <w:rPr>
                <w:b/>
                <w:sz w:val="18"/>
              </w:rPr>
              <w:t>Description</w:t>
            </w:r>
          </w:p>
        </w:tc>
      </w:tr>
      <w:tr>
        <w:tc>
          <w:tcPr>
            <w:tcW w:type="dxa" w:w="3024"/>
            <w:vAlign w:val="top"/>
          </w:tcPr>
          <w:p>
            <w:r>
              <w:rPr>
                <w:sz w:val="18"/>
              </w:rPr>
            </w:r>
            <w:r>
              <w:rPr>
                <w:b w:val="0"/>
                <w:sz w:val="18"/>
              </w:rPr>
              <w:t>grid_import_kw[t]</w:t>
            </w:r>
          </w:p>
        </w:tc>
        <w:tc>
          <w:tcPr>
            <w:tcW w:type="dxa" w:w="1152"/>
            <w:vAlign w:val="top"/>
          </w:tcPr>
          <w:p>
            <w:r>
              <w:rPr>
                <w:sz w:val="18"/>
              </w:rPr>
            </w:r>
            <w:r>
              <w:rPr>
                <w:b w:val="0"/>
                <w:sz w:val="18"/>
              </w:rPr>
              <w:t>kW</w:t>
            </w:r>
          </w:p>
        </w:tc>
        <w:tc>
          <w:tcPr>
            <w:tcW w:type="dxa" w:w="6480"/>
            <w:vAlign w:val="top"/>
          </w:tcPr>
          <w:p>
            <w:r>
              <w:rPr>
                <w:sz w:val="18"/>
              </w:rPr>
            </w:r>
            <w:r>
              <w:rPr>
                <w:b w:val="0"/>
                <w:sz w:val="18"/>
              </w:rPr>
              <w:t>Grid import after PV and BESS dispatch.</w:t>
            </w:r>
          </w:p>
        </w:tc>
      </w:tr>
      <w:tr>
        <w:tc>
          <w:tcPr>
            <w:tcW w:type="dxa" w:w="3024"/>
            <w:vAlign w:val="top"/>
          </w:tcPr>
          <w:p>
            <w:r>
              <w:rPr>
                <w:sz w:val="18"/>
              </w:rPr>
            </w:r>
            <w:r>
              <w:rPr>
                <w:b w:val="0"/>
                <w:sz w:val="18"/>
              </w:rPr>
              <w:t>pv_to_load_kw[t]</w:t>
            </w:r>
          </w:p>
        </w:tc>
        <w:tc>
          <w:tcPr>
            <w:tcW w:type="dxa" w:w="1152"/>
            <w:vAlign w:val="top"/>
          </w:tcPr>
          <w:p>
            <w:r>
              <w:rPr>
                <w:sz w:val="18"/>
              </w:rPr>
            </w:r>
            <w:r>
              <w:rPr>
                <w:b w:val="0"/>
                <w:sz w:val="18"/>
              </w:rPr>
              <w:t>kW</w:t>
            </w:r>
          </w:p>
        </w:tc>
        <w:tc>
          <w:tcPr>
            <w:tcW w:type="dxa" w:w="6480"/>
            <w:vAlign w:val="top"/>
          </w:tcPr>
          <w:p>
            <w:r>
              <w:rPr>
                <w:sz w:val="18"/>
              </w:rPr>
            </w:r>
            <w:r>
              <w:rPr>
                <w:b w:val="0"/>
                <w:sz w:val="18"/>
              </w:rPr>
              <w:t>PV directly consumed by load.</w:t>
            </w:r>
          </w:p>
        </w:tc>
      </w:tr>
      <w:tr>
        <w:tc>
          <w:tcPr>
            <w:tcW w:type="dxa" w:w="3024"/>
            <w:vAlign w:val="top"/>
          </w:tcPr>
          <w:p>
            <w:r>
              <w:rPr>
                <w:sz w:val="18"/>
              </w:rPr>
            </w:r>
            <w:r>
              <w:rPr>
                <w:b w:val="0"/>
                <w:sz w:val="18"/>
              </w:rPr>
              <w:t>charge_pv_kw[t]</w:t>
            </w:r>
          </w:p>
        </w:tc>
        <w:tc>
          <w:tcPr>
            <w:tcW w:type="dxa" w:w="1152"/>
            <w:vAlign w:val="top"/>
          </w:tcPr>
          <w:p>
            <w:r>
              <w:rPr>
                <w:sz w:val="18"/>
              </w:rPr>
            </w:r>
            <w:r>
              <w:rPr>
                <w:b w:val="0"/>
                <w:sz w:val="18"/>
              </w:rPr>
              <w:t>kW</w:t>
            </w:r>
          </w:p>
        </w:tc>
        <w:tc>
          <w:tcPr>
            <w:tcW w:type="dxa" w:w="6480"/>
            <w:vAlign w:val="top"/>
          </w:tcPr>
          <w:p>
            <w:r>
              <w:rPr>
                <w:sz w:val="18"/>
              </w:rPr>
            </w:r>
            <w:r>
              <w:rPr>
                <w:b w:val="0"/>
                <w:sz w:val="18"/>
              </w:rPr>
              <w:t>PV charging BESS.</w:t>
            </w:r>
          </w:p>
        </w:tc>
      </w:tr>
      <w:tr>
        <w:tc>
          <w:tcPr>
            <w:tcW w:type="dxa" w:w="3024"/>
            <w:vAlign w:val="top"/>
          </w:tcPr>
          <w:p>
            <w:r>
              <w:rPr>
                <w:sz w:val="18"/>
              </w:rPr>
            </w:r>
            <w:r>
              <w:rPr>
                <w:b w:val="0"/>
                <w:sz w:val="18"/>
              </w:rPr>
              <w:t>charge_grid_kw[t]</w:t>
            </w:r>
          </w:p>
        </w:tc>
        <w:tc>
          <w:tcPr>
            <w:tcW w:type="dxa" w:w="1152"/>
            <w:vAlign w:val="top"/>
          </w:tcPr>
          <w:p>
            <w:r>
              <w:rPr>
                <w:sz w:val="18"/>
              </w:rPr>
            </w:r>
            <w:r>
              <w:rPr>
                <w:b w:val="0"/>
                <w:sz w:val="18"/>
              </w:rPr>
              <w:t>kW</w:t>
            </w:r>
          </w:p>
        </w:tc>
        <w:tc>
          <w:tcPr>
            <w:tcW w:type="dxa" w:w="6480"/>
            <w:vAlign w:val="top"/>
          </w:tcPr>
          <w:p>
            <w:r>
              <w:rPr>
                <w:sz w:val="18"/>
              </w:rPr>
            </w:r>
            <w:r>
              <w:rPr>
                <w:b w:val="0"/>
                <w:sz w:val="18"/>
              </w:rPr>
              <w:t>Grid charging BESS, if enabled.</w:t>
            </w:r>
          </w:p>
        </w:tc>
      </w:tr>
      <w:tr>
        <w:tc>
          <w:tcPr>
            <w:tcW w:type="dxa" w:w="3024"/>
            <w:vAlign w:val="top"/>
          </w:tcPr>
          <w:p>
            <w:r>
              <w:rPr>
                <w:sz w:val="18"/>
              </w:rPr>
            </w:r>
            <w:r>
              <w:rPr>
                <w:b w:val="0"/>
                <w:sz w:val="18"/>
              </w:rPr>
              <w:t>discharge_kw[t]</w:t>
            </w:r>
          </w:p>
        </w:tc>
        <w:tc>
          <w:tcPr>
            <w:tcW w:type="dxa" w:w="1152"/>
            <w:vAlign w:val="top"/>
          </w:tcPr>
          <w:p>
            <w:r>
              <w:rPr>
                <w:sz w:val="18"/>
              </w:rPr>
            </w:r>
            <w:r>
              <w:rPr>
                <w:b w:val="0"/>
                <w:sz w:val="18"/>
              </w:rPr>
              <w:t>kW</w:t>
            </w:r>
          </w:p>
        </w:tc>
        <w:tc>
          <w:tcPr>
            <w:tcW w:type="dxa" w:w="6480"/>
            <w:vAlign w:val="top"/>
          </w:tcPr>
          <w:p>
            <w:r>
              <w:rPr>
                <w:sz w:val="18"/>
              </w:rPr>
            </w:r>
            <w:r>
              <w:rPr>
                <w:b w:val="0"/>
                <w:sz w:val="18"/>
              </w:rPr>
              <w:t>BESS discharge to serve load.</w:t>
            </w:r>
          </w:p>
        </w:tc>
      </w:tr>
      <w:tr>
        <w:tc>
          <w:tcPr>
            <w:tcW w:type="dxa" w:w="3024"/>
            <w:vAlign w:val="top"/>
          </w:tcPr>
          <w:p>
            <w:r>
              <w:rPr>
                <w:sz w:val="18"/>
              </w:rPr>
            </w:r>
            <w:r>
              <w:rPr>
                <w:b w:val="0"/>
                <w:sz w:val="18"/>
              </w:rPr>
              <w:t>soc_kwh[t]</w:t>
            </w:r>
          </w:p>
        </w:tc>
        <w:tc>
          <w:tcPr>
            <w:tcW w:type="dxa" w:w="1152"/>
            <w:vAlign w:val="top"/>
          </w:tcPr>
          <w:p>
            <w:r>
              <w:rPr>
                <w:sz w:val="18"/>
              </w:rPr>
            </w:r>
            <w:r>
              <w:rPr>
                <w:b w:val="0"/>
                <w:sz w:val="18"/>
              </w:rPr>
              <w:t>kWh</w:t>
            </w:r>
          </w:p>
        </w:tc>
        <w:tc>
          <w:tcPr>
            <w:tcW w:type="dxa" w:w="6480"/>
            <w:vAlign w:val="top"/>
          </w:tcPr>
          <w:p>
            <w:r>
              <w:rPr>
                <w:sz w:val="18"/>
              </w:rPr>
            </w:r>
            <w:r>
              <w:rPr>
                <w:b w:val="0"/>
                <w:sz w:val="18"/>
              </w:rPr>
              <w:t>BESS state of charge.</w:t>
            </w:r>
          </w:p>
        </w:tc>
      </w:tr>
      <w:tr>
        <w:tc>
          <w:tcPr>
            <w:tcW w:type="dxa" w:w="3024"/>
            <w:vAlign w:val="top"/>
          </w:tcPr>
          <w:p>
            <w:r>
              <w:rPr>
                <w:sz w:val="18"/>
              </w:rPr>
            </w:r>
            <w:r>
              <w:rPr>
                <w:b w:val="0"/>
                <w:sz w:val="18"/>
              </w:rPr>
              <w:t>pv_curtailed_kw[t]</w:t>
            </w:r>
          </w:p>
        </w:tc>
        <w:tc>
          <w:tcPr>
            <w:tcW w:type="dxa" w:w="1152"/>
            <w:vAlign w:val="top"/>
          </w:tcPr>
          <w:p>
            <w:r>
              <w:rPr>
                <w:sz w:val="18"/>
              </w:rPr>
            </w:r>
            <w:r>
              <w:rPr>
                <w:b w:val="0"/>
                <w:sz w:val="18"/>
              </w:rPr>
              <w:t>kW</w:t>
            </w:r>
          </w:p>
        </w:tc>
        <w:tc>
          <w:tcPr>
            <w:tcW w:type="dxa" w:w="6480"/>
            <w:vAlign w:val="top"/>
          </w:tcPr>
          <w:p>
            <w:r>
              <w:rPr>
                <w:sz w:val="18"/>
              </w:rPr>
            </w:r>
            <w:r>
              <w:rPr>
                <w:b w:val="0"/>
                <w:sz w:val="18"/>
              </w:rPr>
              <w:t>PV curtailed in no-export mode.</w:t>
            </w:r>
          </w:p>
        </w:tc>
      </w:tr>
      <w:tr>
        <w:tc>
          <w:tcPr>
            <w:tcW w:type="dxa" w:w="3024"/>
            <w:vAlign w:val="top"/>
          </w:tcPr>
          <w:p>
            <w:r>
              <w:rPr>
                <w:sz w:val="18"/>
              </w:rPr>
            </w:r>
            <w:r>
              <w:rPr>
                <w:b w:val="0"/>
                <w:sz w:val="18"/>
              </w:rPr>
              <w:t>grid_export_kw[t]</w:t>
            </w:r>
          </w:p>
        </w:tc>
        <w:tc>
          <w:tcPr>
            <w:tcW w:type="dxa" w:w="1152"/>
            <w:vAlign w:val="top"/>
          </w:tcPr>
          <w:p>
            <w:r>
              <w:rPr>
                <w:sz w:val="18"/>
              </w:rPr>
            </w:r>
            <w:r>
              <w:rPr>
                <w:b w:val="0"/>
                <w:sz w:val="18"/>
              </w:rPr>
              <w:t>kW</w:t>
            </w:r>
          </w:p>
        </w:tc>
        <w:tc>
          <w:tcPr>
            <w:tcW w:type="dxa" w:w="6480"/>
            <w:vAlign w:val="top"/>
          </w:tcPr>
          <w:p>
            <w:r>
              <w:rPr>
                <w:sz w:val="18"/>
              </w:rPr>
            </w:r>
            <w:r>
              <w:rPr>
                <w:b w:val="0"/>
                <w:sz w:val="18"/>
              </w:rPr>
              <w:t>Grid export; forced to zero in no-export mode.</w:t>
            </w:r>
          </w:p>
        </w:tc>
      </w:tr>
      <w:tr>
        <w:tc>
          <w:tcPr>
            <w:tcW w:type="dxa" w:w="3024"/>
            <w:vAlign w:val="top"/>
          </w:tcPr>
          <w:p>
            <w:r>
              <w:rPr>
                <w:sz w:val="18"/>
              </w:rPr>
            </w:r>
            <w:r>
              <w:rPr>
                <w:b w:val="0"/>
                <w:sz w:val="18"/>
              </w:rPr>
              <w:t>billing_capacity_kw[m]</w:t>
            </w:r>
          </w:p>
        </w:tc>
        <w:tc>
          <w:tcPr>
            <w:tcW w:type="dxa" w:w="1152"/>
            <w:vAlign w:val="top"/>
          </w:tcPr>
          <w:p>
            <w:r>
              <w:rPr>
                <w:sz w:val="18"/>
              </w:rPr>
            </w:r>
            <w:r>
              <w:rPr>
                <w:b w:val="0"/>
                <w:sz w:val="18"/>
              </w:rPr>
              <w:t>kW</w:t>
            </w:r>
          </w:p>
        </w:tc>
        <w:tc>
          <w:tcPr>
            <w:tcW w:type="dxa" w:w="6480"/>
            <w:vAlign w:val="top"/>
          </w:tcPr>
          <w:p>
            <w:r>
              <w:rPr>
                <w:sz w:val="18"/>
              </w:rPr>
            </w:r>
            <w:r>
              <w:rPr>
                <w:b w:val="0"/>
                <w:sz w:val="18"/>
              </w:rPr>
              <w:t>Billing demand for capacity charge.</w:t>
            </w:r>
          </w:p>
        </w:tc>
      </w:tr>
      <w:tr>
        <w:tc>
          <w:tcPr>
            <w:tcW w:type="dxa" w:w="3024"/>
            <w:vAlign w:val="top"/>
          </w:tcPr>
          <w:p>
            <w:r>
              <w:rPr>
                <w:sz w:val="18"/>
              </w:rPr>
            </w:r>
            <w:r>
              <w:rPr>
                <w:b w:val="0"/>
                <w:sz w:val="18"/>
              </w:rPr>
              <w:t>billing_distribution_kw[m]</w:t>
            </w:r>
          </w:p>
        </w:tc>
        <w:tc>
          <w:tcPr>
            <w:tcW w:type="dxa" w:w="1152"/>
            <w:vAlign w:val="top"/>
          </w:tcPr>
          <w:p>
            <w:r>
              <w:rPr>
                <w:sz w:val="18"/>
              </w:rPr>
            </w:r>
            <w:r>
              <w:rPr>
                <w:b w:val="0"/>
                <w:sz w:val="18"/>
              </w:rPr>
              <w:t>kW</w:t>
            </w:r>
          </w:p>
        </w:tc>
        <w:tc>
          <w:tcPr>
            <w:tcW w:type="dxa" w:w="6480"/>
            <w:vAlign w:val="top"/>
          </w:tcPr>
          <w:p>
            <w:r>
              <w:rPr>
                <w:sz w:val="18"/>
              </w:rPr>
            </w:r>
            <w:r>
              <w:rPr>
                <w:b w:val="0"/>
                <w:sz w:val="18"/>
              </w:rPr>
              <w:t>Billing demand for distribution charge.</w:t>
            </w:r>
          </w:p>
        </w:tc>
      </w:tr>
    </w:tbl>
    <w:p>
      <w:pPr>
        <w:pStyle w:val="Heading2"/>
      </w:pPr>
      <w:r>
        <w:t>5.5 Constraints</w:t>
      </w:r>
    </w:p>
    <w:p>
      <w:pPr>
        <w:pStyle w:val="CodeBlock"/>
      </w:pPr>
      <w:r>
        <w:rPr>
          <w:rFonts w:ascii="Consolas" w:hAnsi="Consolas"/>
          <w:sz w:val="16"/>
        </w:rPr>
        <w:t>For each 15-minute interval t:</w:t>
        <w:br/>
        <w:t>0 &lt;= charge_pv_kw[t] &lt;= bess_power_kw</w:t>
        <w:br/>
        <w:t>0 &lt;= charge_grid_kw[t] &lt;= bess_power_kw if grid_charge_enabled else 0</w:t>
        <w:br/>
        <w:t>0 &lt;= discharge_kw[t] &lt;= bess_power_kw</w:t>
        <w:br/>
        <w:t>soc_min_kwh &lt;= soc_kwh[t] &lt;= soc_max_kwh</w:t>
        <w:br/>
        <w:t>grid_import_kw[t] &gt;= 0</w:t>
        <w:br/>
        <w:t>grid_export_kw[t] == 0 if no_export_mode else &gt;= 0</w:t>
        <w:br/>
        <w:br/>
        <w:t>SOC balance:</w:t>
        <w:br/>
        <w:t>soc[t] = soc[t-1] + 0.25 * eta_charge * (charge_pv_kw[t] + charge_grid_kw[t]) - 0.25 * discharge_kw[t] / eta_discharge</w:t>
        <w:br/>
        <w:br/>
        <w:t>Load balance:</w:t>
        <w:br/>
        <w:t>load_kw[t] = pv_to_load_kw[t] + discharge_kw[t] + grid_import_kw[t]</w:t>
        <w:br/>
        <w:br/>
        <w:t>PV balance:</w:t>
        <w:br/>
        <w:t>pv_kw[t] = pv_to_load_kw[t] + charge_pv_kw[t] + pv_curtailed_kw[t] + grid_export_kw[t]</w:t>
        <w:br/>
        <w:br/>
        <w:t>Demand constraints by month m:</w:t>
        <w:br/>
        <w:t>Dmaxpunta_after[m] &gt;= grid_import_kw[t] for all t in punta period in month m</w:t>
        <w:br/>
        <w:t>Dmaxmensual_after[m] &gt;= grid_import_kw[t] for all t in month m</w:t>
        <w:br/>
        <w:t>billing_capacity_kw[m] = min_proxy(Dmaxpunta_after[m], Qmensual_after / (24 * days * factor_carga))</w:t>
        <w:br/>
        <w:t>billing_distribution_kw[m] = min_proxy(Dmaxmensual_after[m], Qmensual_after / (24 * days * factor_carga))</w:t>
      </w:r>
    </w:p>
    <w:p>
      <w:pPr>
        <w:pStyle w:val="Heading2"/>
      </w:pPr>
      <w:r>
        <w:t>5.6 Handling min() in LP</w:t>
      </w:r>
    </w:p>
    <w:p>
      <w:r>
        <w:t>Because min() is non-linear, implement the billing-demand calculation after optimization for v1, or use auxiliary variables and conservative formulation in v2. For MVP bankable LP, optimize against measured peak reduction and energy cost, then calculate final bill with the existing CFE bill engine. Use an iterative target-cap loop if exact demand-charge optimization is required without mixed-integer variables.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D9EAF7"/>
          </w:tcPr>
          <w:p>
            <w:r>
              <w:rPr>
                <w:sz w:val="18"/>
              </w:rPr>
            </w:r>
            <w:r>
              <w:rPr>
                <w:b/>
                <w:sz w:val="18"/>
              </w:rPr>
              <w:t>Approach</w:t>
            </w:r>
          </w:p>
        </w:tc>
        <w:tc>
          <w:tcPr>
            <w:tcW w:type="dxa" w:w="2880"/>
            <w:vAlign w:val="top"/>
            <w:shd w:fill="D9EAF7"/>
          </w:tcPr>
          <w:p>
            <w:r>
              <w:rPr>
                <w:sz w:val="18"/>
              </w:rPr>
            </w:r>
            <w:r>
              <w:rPr>
                <w:b/>
                <w:sz w:val="18"/>
              </w:rPr>
              <w:t>Use case</w:t>
            </w:r>
          </w:p>
        </w:tc>
        <w:tc>
          <w:tcPr>
            <w:tcW w:type="dxa" w:w="4896"/>
            <w:vAlign w:val="top"/>
            <w:shd w:fill="D9EAF7"/>
          </w:tcPr>
          <w:p>
            <w:r>
              <w:rPr>
                <w:sz w:val="18"/>
              </w:rPr>
            </w:r>
            <w:r>
              <w:rPr>
                <w:b/>
                <w:sz w:val="18"/>
              </w:rPr>
              <w:t>Implementation</w:t>
            </w:r>
          </w:p>
        </w:tc>
      </w:tr>
      <w:tr>
        <w:tc>
          <w:tcPr>
            <w:tcW w:type="dxa" w:w="2880"/>
            <w:vAlign w:val="top"/>
          </w:tcPr>
          <w:p>
            <w:r>
              <w:rPr>
                <w:sz w:val="18"/>
              </w:rPr>
            </w:r>
            <w:r>
              <w:rPr>
                <w:b w:val="0"/>
                <w:sz w:val="18"/>
              </w:rPr>
              <w:t>LP + post-bill calculation</w:t>
            </w:r>
          </w:p>
        </w:tc>
        <w:tc>
          <w:tcPr>
            <w:tcW w:type="dxa" w:w="2880"/>
            <w:vAlign w:val="top"/>
          </w:tcPr>
          <w:p>
            <w:r>
              <w:rPr>
                <w:sz w:val="18"/>
              </w:rPr>
            </w:r>
            <w:r>
              <w:rPr>
                <w:b w:val="0"/>
                <w:sz w:val="18"/>
              </w:rPr>
              <w:t>Fast v1</w:t>
            </w:r>
          </w:p>
        </w:tc>
        <w:tc>
          <w:tcPr>
            <w:tcW w:type="dxa" w:w="4896"/>
            <w:vAlign w:val="top"/>
          </w:tcPr>
          <w:p>
            <w:r>
              <w:rPr>
                <w:sz w:val="18"/>
              </w:rPr>
            </w:r>
            <w:r>
              <w:rPr>
                <w:b w:val="0"/>
                <w:sz w:val="18"/>
              </w:rPr>
              <w:t>Optimize grid import and SOC; use cfe_bill_engine to calculate final charges.</w:t>
            </w:r>
          </w:p>
        </w:tc>
      </w:tr>
      <w:tr>
        <w:tc>
          <w:tcPr>
            <w:tcW w:type="dxa" w:w="2880"/>
            <w:vAlign w:val="top"/>
          </w:tcPr>
          <w:p>
            <w:r>
              <w:rPr>
                <w:sz w:val="18"/>
              </w:rPr>
            </w:r>
            <w:r>
              <w:rPr>
                <w:b w:val="0"/>
                <w:sz w:val="18"/>
              </w:rPr>
              <w:t>LP with target import cap sweep</w:t>
            </w:r>
          </w:p>
        </w:tc>
        <w:tc>
          <w:tcPr>
            <w:tcW w:type="dxa" w:w="2880"/>
            <w:vAlign w:val="top"/>
          </w:tcPr>
          <w:p>
            <w:r>
              <w:rPr>
                <w:sz w:val="18"/>
              </w:rPr>
            </w:r>
            <w:r>
              <w:rPr>
                <w:b w:val="0"/>
                <w:sz w:val="18"/>
              </w:rPr>
              <w:t>More accurate peak shaving</w:t>
            </w:r>
          </w:p>
        </w:tc>
        <w:tc>
          <w:tcPr>
            <w:tcW w:type="dxa" w:w="4896"/>
            <w:vAlign w:val="top"/>
          </w:tcPr>
          <w:p>
            <w:r>
              <w:rPr>
                <w:sz w:val="18"/>
              </w:rPr>
            </w:r>
            <w:r>
              <w:rPr>
                <w:b w:val="0"/>
                <w:sz w:val="18"/>
              </w:rPr>
              <w:t>Binary search import cap; LP checks feasibility and bill savings for each cap.</w:t>
            </w:r>
          </w:p>
        </w:tc>
      </w:tr>
      <w:tr>
        <w:tc>
          <w:tcPr>
            <w:tcW w:type="dxa" w:w="2880"/>
            <w:vAlign w:val="top"/>
          </w:tcPr>
          <w:p>
            <w:r>
              <w:rPr>
                <w:sz w:val="18"/>
              </w:rPr>
            </w:r>
            <w:r>
              <w:rPr>
                <w:b w:val="0"/>
                <w:sz w:val="18"/>
              </w:rPr>
              <w:t>MILP exact demand charge</w:t>
            </w:r>
          </w:p>
        </w:tc>
        <w:tc>
          <w:tcPr>
            <w:tcW w:type="dxa" w:w="2880"/>
            <w:vAlign w:val="top"/>
          </w:tcPr>
          <w:p>
            <w:r>
              <w:rPr>
                <w:sz w:val="18"/>
              </w:rPr>
            </w:r>
            <w:r>
              <w:rPr>
                <w:b w:val="0"/>
                <w:sz w:val="18"/>
              </w:rPr>
              <w:t>Later bank-grade version</w:t>
            </w:r>
          </w:p>
        </w:tc>
        <w:tc>
          <w:tcPr>
            <w:tcW w:type="dxa" w:w="4896"/>
            <w:vAlign w:val="top"/>
          </w:tcPr>
          <w:p>
            <w:r>
              <w:rPr>
                <w:sz w:val="18"/>
              </w:rPr>
            </w:r>
            <w:r>
              <w:rPr>
                <w:b w:val="0"/>
                <w:sz w:val="18"/>
              </w:rPr>
              <w:t>Binary variables or piecewise formulation for exact min() and no simultaneous charge/discharge.</w:t>
            </w:r>
          </w:p>
        </w:tc>
      </w:tr>
    </w:tbl>
    <w:p>
      <w:pPr>
        <w:pStyle w:val="Heading2"/>
      </w:pPr>
      <w:r>
        <w:t>5.7 Engine selection in UI</w:t>
      </w:r>
    </w:p>
    <w:p>
      <w:pPr>
        <w:pStyle w:val="CodeBlock"/>
      </w:pPr>
      <w:r>
        <w:rPr>
          <w:rFonts w:ascii="Consolas" w:hAnsi="Consolas"/>
          <w:sz w:val="16"/>
        </w:rPr>
        <w:t>Dispatch engine:</w:t>
        <w:br/>
        <w:t xml:space="preserve">  - Rule-based fast screening</w:t>
        <w:br/>
        <w:t xml:space="preserve">  - LP bankable optimization [default for Bankable Investor Case]</w:t>
        <w:br/>
        <w:t xml:space="preserve">  - Compare both engines</w:t>
      </w:r>
    </w:p>
    <w:p>
      <w:pPr>
        <w:pStyle w:val="Heading2"/>
      </w:pPr>
      <w:r>
        <w:t>5.8 Developer function signature</w:t>
      </w:r>
    </w:p>
    <w:p>
      <w:pPr>
        <w:pStyle w:val="CodeBlock"/>
      </w:pPr>
      <w:r>
        <w:rPr>
          <w:rFonts w:ascii="Consolas" w:hAnsi="Consolas"/>
          <w:sz w:val="16"/>
        </w:rPr>
        <w:t>def optimize_btm_lp_dispatch(</w:t>
        <w:br/>
        <w:t xml:space="preserve">    load_15min: pd.DataFrame,</w:t>
        <w:br/>
        <w:t xml:space="preserve">    pv_15min: pd.DataFrame | None,</w:t>
        <w:br/>
        <w:t xml:space="preserve">    tariff_calendar: pd.DataFrame,</w:t>
        <w:br/>
        <w:t xml:space="preserve">    tariff_rates: pd.DataFrame,</w:t>
        <w:br/>
        <w:t xml:space="preserve">    bess_config: dict,</w:t>
        <w:br/>
        <w:t xml:space="preserve">    customer_config: dict,</w:t>
        <w:br/>
        <w:t xml:space="preserve">    optimizer_config: dict,</w:t>
        <w:br/>
        <w:t>) -&gt; dict:</w:t>
        <w:br/>
        <w:t xml:space="preserve">    """</w:t>
        <w:br/>
        <w:t xml:space="preserve">    Returns dispatch_15min, optimized_bill, savings_by_component,</w:t>
        <w:br/>
        <w:t xml:space="preserve">    feasibility_status, warnings and solver metadata.</w:t>
        <w:br/>
        <w:t xml:space="preserve">    """</w:t>
      </w:r>
    </w:p>
    <w:p>
      <w:pPr>
        <w:pStyle w:val="Heading2"/>
      </w:pPr>
      <w:r>
        <w:t>5.9 Comparison outputs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168"/>
            <w:vAlign w:val="top"/>
            <w:shd w:fill="D9EAF7"/>
          </w:tcPr>
          <w:p>
            <w:r>
              <w:rPr>
                <w:sz w:val="18"/>
              </w:rPr>
            </w:r>
            <w:r>
              <w:rPr>
                <w:b/>
                <w:sz w:val="18"/>
              </w:rPr>
              <w:t>Metric</w:t>
            </w:r>
          </w:p>
        </w:tc>
        <w:tc>
          <w:tcPr>
            <w:tcW w:type="dxa" w:w="1728"/>
            <w:vAlign w:val="top"/>
            <w:shd w:fill="D9EAF7"/>
          </w:tcPr>
          <w:p>
            <w:r>
              <w:rPr>
                <w:sz w:val="18"/>
              </w:rPr>
            </w:r>
            <w:r>
              <w:rPr>
                <w:b/>
                <w:sz w:val="18"/>
              </w:rPr>
              <w:t>Rule-based</w:t>
            </w:r>
          </w:p>
        </w:tc>
        <w:tc>
          <w:tcPr>
            <w:tcW w:type="dxa" w:w="1728"/>
            <w:vAlign w:val="top"/>
            <w:shd w:fill="D9EAF7"/>
          </w:tcPr>
          <w:p>
            <w:r>
              <w:rPr>
                <w:sz w:val="18"/>
              </w:rPr>
            </w:r>
            <w:r>
              <w:rPr>
                <w:b/>
                <w:sz w:val="18"/>
              </w:rPr>
              <w:t>LP</w:t>
            </w:r>
          </w:p>
        </w:tc>
        <w:tc>
          <w:tcPr>
            <w:tcW w:type="dxa" w:w="2160"/>
            <w:vAlign w:val="top"/>
            <w:shd w:fill="D9EAF7"/>
          </w:tcPr>
          <w:p>
            <w:r>
              <w:rPr>
                <w:sz w:val="18"/>
              </w:rPr>
            </w:r>
            <w:r>
              <w:rPr>
                <w:b/>
                <w:sz w:val="18"/>
              </w:rPr>
              <w:t>Bankable</w:t>
            </w:r>
          </w:p>
        </w:tc>
      </w:tr>
      <w:tr>
        <w:tc>
          <w:tcPr>
            <w:tcW w:type="dxa" w:w="3168"/>
            <w:vAlign w:val="top"/>
          </w:tcPr>
          <w:p>
            <w:r>
              <w:rPr>
                <w:sz w:val="18"/>
              </w:rPr>
            </w:r>
            <w:r>
              <w:rPr>
                <w:b w:val="0"/>
                <w:sz w:val="18"/>
              </w:rPr>
              <w:t>Annual modeled savings</w:t>
            </w:r>
          </w:p>
        </w:tc>
        <w:tc>
          <w:tcPr>
            <w:tcW w:type="dxa" w:w="1728"/>
            <w:vAlign w:val="top"/>
          </w:tcPr>
          <w:p>
            <w:r>
              <w:rPr>
                <w:sz w:val="18"/>
              </w:rPr>
            </w:r>
            <w:r>
              <w:rPr>
                <w:b w:val="0"/>
                <w:sz w:val="18"/>
              </w:rPr>
              <w:t>Yes</w:t>
            </w:r>
          </w:p>
        </w:tc>
        <w:tc>
          <w:tcPr>
            <w:tcW w:type="dxa" w:w="1728"/>
            <w:vAlign w:val="top"/>
          </w:tcPr>
          <w:p>
            <w:r>
              <w:rPr>
                <w:sz w:val="18"/>
              </w:rPr>
            </w:r>
            <w:r>
              <w:rPr>
                <w:b w:val="0"/>
                <w:sz w:val="18"/>
              </w:rPr>
              <w:t>Yes</w:t>
            </w:r>
          </w:p>
        </w:tc>
        <w:tc>
          <w:tcPr>
            <w:tcW w:type="dxa" w:w="2160"/>
            <w:vAlign w:val="top"/>
          </w:tcPr>
          <w:p>
            <w:r>
              <w:rPr>
                <w:sz w:val="18"/>
              </w:rPr>
            </w:r>
            <w:r>
              <w:rPr>
                <w:b w:val="0"/>
                <w:sz w:val="18"/>
              </w:rPr>
              <w:t>After haircuts</w:t>
            </w:r>
          </w:p>
        </w:tc>
      </w:tr>
      <w:tr>
        <w:tc>
          <w:tcPr>
            <w:tcW w:type="dxa" w:w="3168"/>
            <w:vAlign w:val="top"/>
          </w:tcPr>
          <w:p>
            <w:r>
              <w:rPr>
                <w:sz w:val="18"/>
              </w:rPr>
            </w:r>
            <w:r>
              <w:rPr>
                <w:b w:val="0"/>
                <w:sz w:val="18"/>
              </w:rPr>
              <w:t>Peak reduction</w:t>
            </w:r>
          </w:p>
        </w:tc>
        <w:tc>
          <w:tcPr>
            <w:tcW w:type="dxa" w:w="1728"/>
            <w:vAlign w:val="top"/>
          </w:tcPr>
          <w:p>
            <w:r>
              <w:rPr>
                <w:sz w:val="18"/>
              </w:rPr>
            </w:r>
            <w:r>
              <w:rPr>
                <w:b w:val="0"/>
                <w:sz w:val="18"/>
              </w:rPr>
              <w:t>Yes</w:t>
            </w:r>
          </w:p>
        </w:tc>
        <w:tc>
          <w:tcPr>
            <w:tcW w:type="dxa" w:w="1728"/>
            <w:vAlign w:val="top"/>
          </w:tcPr>
          <w:p>
            <w:r>
              <w:rPr>
                <w:sz w:val="18"/>
              </w:rPr>
            </w:r>
            <w:r>
              <w:rPr>
                <w:b w:val="0"/>
                <w:sz w:val="18"/>
              </w:rPr>
              <w:t>Yes</w:t>
            </w:r>
          </w:p>
        </w:tc>
        <w:tc>
          <w:tcPr>
            <w:tcW w:type="dxa" w:w="2160"/>
            <w:vAlign w:val="top"/>
          </w:tcPr>
          <w:p>
            <w:r>
              <w:rPr>
                <w:sz w:val="18"/>
              </w:rPr>
            </w:r>
            <w:r>
              <w:rPr>
                <w:b w:val="0"/>
                <w:sz w:val="18"/>
              </w:rPr>
              <w:t>Yes</w:t>
            </w:r>
          </w:p>
        </w:tc>
      </w:tr>
      <w:tr>
        <w:tc>
          <w:tcPr>
            <w:tcW w:type="dxa" w:w="3168"/>
            <w:vAlign w:val="top"/>
          </w:tcPr>
          <w:p>
            <w:r>
              <w:rPr>
                <w:sz w:val="18"/>
              </w:rPr>
            </w:r>
            <w:r>
              <w:rPr>
                <w:b w:val="0"/>
                <w:sz w:val="18"/>
              </w:rPr>
              <w:t>PV curtailment</w:t>
            </w:r>
          </w:p>
        </w:tc>
        <w:tc>
          <w:tcPr>
            <w:tcW w:type="dxa" w:w="1728"/>
            <w:vAlign w:val="top"/>
          </w:tcPr>
          <w:p>
            <w:r>
              <w:rPr>
                <w:sz w:val="18"/>
              </w:rPr>
            </w:r>
            <w:r>
              <w:rPr>
                <w:b w:val="0"/>
                <w:sz w:val="18"/>
              </w:rPr>
              <w:t>Yes</w:t>
            </w:r>
          </w:p>
        </w:tc>
        <w:tc>
          <w:tcPr>
            <w:tcW w:type="dxa" w:w="1728"/>
            <w:vAlign w:val="top"/>
          </w:tcPr>
          <w:p>
            <w:r>
              <w:rPr>
                <w:sz w:val="18"/>
              </w:rPr>
            </w:r>
            <w:r>
              <w:rPr>
                <w:b w:val="0"/>
                <w:sz w:val="18"/>
              </w:rPr>
              <w:t>Yes</w:t>
            </w:r>
          </w:p>
        </w:tc>
        <w:tc>
          <w:tcPr>
            <w:tcW w:type="dxa" w:w="2160"/>
            <w:vAlign w:val="top"/>
          </w:tcPr>
          <w:p>
            <w:r>
              <w:rPr>
                <w:sz w:val="18"/>
              </w:rPr>
            </w:r>
            <w:r>
              <w:rPr>
                <w:b w:val="0"/>
                <w:sz w:val="18"/>
              </w:rPr>
              <w:t>Yes</w:t>
            </w:r>
          </w:p>
        </w:tc>
      </w:tr>
      <w:tr>
        <w:tc>
          <w:tcPr>
            <w:tcW w:type="dxa" w:w="3168"/>
            <w:vAlign w:val="top"/>
          </w:tcPr>
          <w:p>
            <w:r>
              <w:rPr>
                <w:sz w:val="18"/>
              </w:rPr>
            </w:r>
            <w:r>
              <w:rPr>
                <w:b w:val="0"/>
                <w:sz w:val="18"/>
              </w:rPr>
              <w:t>Solver status</w:t>
            </w:r>
          </w:p>
        </w:tc>
        <w:tc>
          <w:tcPr>
            <w:tcW w:type="dxa" w:w="1728"/>
            <w:vAlign w:val="top"/>
          </w:tcPr>
          <w:p>
            <w:r>
              <w:rPr>
                <w:sz w:val="18"/>
              </w:rPr>
            </w:r>
            <w:r>
              <w:rPr>
                <w:b w:val="0"/>
                <w:sz w:val="18"/>
              </w:rPr>
              <w:t>N/A</w:t>
            </w:r>
          </w:p>
        </w:tc>
        <w:tc>
          <w:tcPr>
            <w:tcW w:type="dxa" w:w="1728"/>
            <w:vAlign w:val="top"/>
          </w:tcPr>
          <w:p>
            <w:r>
              <w:rPr>
                <w:sz w:val="18"/>
              </w:rPr>
            </w:r>
            <w:r>
              <w:rPr>
                <w:b w:val="0"/>
                <w:sz w:val="18"/>
              </w:rPr>
              <w:t>Required</w:t>
            </w:r>
          </w:p>
        </w:tc>
        <w:tc>
          <w:tcPr>
            <w:tcW w:type="dxa" w:w="2160"/>
            <w:vAlign w:val="top"/>
          </w:tcPr>
          <w:p>
            <w:r>
              <w:rPr>
                <w:sz w:val="18"/>
              </w:rPr>
            </w:r>
            <w:r>
              <w:rPr>
                <w:b w:val="0"/>
                <w:sz w:val="18"/>
              </w:rPr>
              <w:t>Required</w:t>
            </w:r>
          </w:p>
        </w:tc>
      </w:tr>
      <w:tr>
        <w:tc>
          <w:tcPr>
            <w:tcW w:type="dxa" w:w="3168"/>
            <w:vAlign w:val="top"/>
          </w:tcPr>
          <w:p>
            <w:r>
              <w:rPr>
                <w:sz w:val="18"/>
              </w:rPr>
            </w:r>
            <w:r>
              <w:rPr>
                <w:b w:val="0"/>
                <w:sz w:val="18"/>
              </w:rPr>
              <w:t>Operational haircut</w:t>
            </w:r>
          </w:p>
        </w:tc>
        <w:tc>
          <w:tcPr>
            <w:tcW w:type="dxa" w:w="1728"/>
            <w:vAlign w:val="top"/>
          </w:tcPr>
          <w:p>
            <w:r>
              <w:rPr>
                <w:sz w:val="18"/>
              </w:rPr>
            </w:r>
            <w:r>
              <w:rPr>
                <w:b w:val="0"/>
                <w:sz w:val="18"/>
              </w:rPr>
              <w:t>Optional</w:t>
            </w:r>
          </w:p>
        </w:tc>
        <w:tc>
          <w:tcPr>
            <w:tcW w:type="dxa" w:w="1728"/>
            <w:vAlign w:val="top"/>
          </w:tcPr>
          <w:p>
            <w:r>
              <w:rPr>
                <w:sz w:val="18"/>
              </w:rPr>
            </w:r>
            <w:r>
              <w:rPr>
                <w:b w:val="0"/>
                <w:sz w:val="18"/>
              </w:rPr>
              <w:t>Required</w:t>
            </w:r>
          </w:p>
        </w:tc>
        <w:tc>
          <w:tcPr>
            <w:tcW w:type="dxa" w:w="2160"/>
            <w:vAlign w:val="top"/>
          </w:tcPr>
          <w:p>
            <w:r>
              <w:rPr>
                <w:sz w:val="18"/>
              </w:rPr>
            </w:r>
            <w:r>
              <w:rPr>
                <w:b w:val="0"/>
                <w:sz w:val="18"/>
              </w:rPr>
              <w:t>Required</w:t>
            </w:r>
          </w:p>
        </w:tc>
      </w:tr>
      <w:tr>
        <w:tc>
          <w:tcPr>
            <w:tcW w:type="dxa" w:w="3168"/>
            <w:vAlign w:val="top"/>
          </w:tcPr>
          <w:p>
            <w:r>
              <w:rPr>
                <w:sz w:val="18"/>
              </w:rPr>
            </w:r>
            <w:r>
              <w:rPr>
                <w:b w:val="0"/>
                <w:sz w:val="18"/>
              </w:rPr>
              <w:t>Report use</w:t>
            </w:r>
          </w:p>
        </w:tc>
        <w:tc>
          <w:tcPr>
            <w:tcW w:type="dxa" w:w="1728"/>
            <w:vAlign w:val="top"/>
          </w:tcPr>
          <w:p>
            <w:r>
              <w:rPr>
                <w:sz w:val="18"/>
              </w:rPr>
            </w:r>
            <w:r>
              <w:rPr>
                <w:b w:val="0"/>
                <w:sz w:val="18"/>
              </w:rPr>
              <w:t>Screening</w:t>
            </w:r>
          </w:p>
        </w:tc>
        <w:tc>
          <w:tcPr>
            <w:tcW w:type="dxa" w:w="1728"/>
            <w:vAlign w:val="top"/>
          </w:tcPr>
          <w:p>
            <w:r>
              <w:rPr>
                <w:sz w:val="18"/>
              </w:rPr>
            </w:r>
            <w:r>
              <w:rPr>
                <w:b w:val="0"/>
                <w:sz w:val="18"/>
              </w:rPr>
              <w:t>Technical/investor</w:t>
            </w:r>
          </w:p>
        </w:tc>
        <w:tc>
          <w:tcPr>
            <w:tcW w:type="dxa" w:w="2160"/>
            <w:vAlign w:val="top"/>
          </w:tcPr>
          <w:p>
            <w:r>
              <w:rPr>
                <w:sz w:val="18"/>
              </w:rPr>
            </w:r>
            <w:r>
              <w:rPr>
                <w:b w:val="0"/>
                <w:sz w:val="18"/>
              </w:rPr>
              <w:t>Lender/investor</w:t>
            </w:r>
          </w:p>
        </w:tc>
      </w:tr>
    </w:tbl>
    <w:p>
      <w:pPr>
        <w:pStyle w:val="Heading2"/>
      </w:pPr>
      <w:r>
        <w:t>5.10 Acceptance criteria</w:t>
      </w:r>
    </w:p>
    <w:tbl>
      <w:tblPr>
        <w:tblStyle w:val="TableGrid"/>
        <w:tblW w:type="auto" w:w="0"/>
        <w:jc w:val="center"/>
        <w:tblLook w:firstColumn="1" w:firstRow="1" w:lastColumn="0" w:lastRow="0" w:noHBand="0" w:noVBand="1" w:val="04A0"/>
      </w:tblPr>
      <w:tblGrid>
        <w:gridCol w:w="5184"/>
        <w:gridCol w:w="5184"/>
      </w:tblGrid>
      <w:tr>
        <w:tc>
          <w:tcPr>
            <w:tcW w:type="dxa" w:w="1440"/>
            <w:vAlign w:val="top"/>
            <w:shd w:fill="D9EAF7"/>
          </w:tcPr>
          <w:p>
            <w:r>
              <w:rPr>
                <w:sz w:val="18"/>
              </w:rPr>
            </w:r>
            <w:r>
              <w:rPr>
                <w:b/>
                <w:sz w:val="18"/>
              </w:rPr>
              <w:t>ID</w:t>
            </w:r>
          </w:p>
        </w:tc>
        <w:tc>
          <w:tcPr>
            <w:tcW w:type="dxa" w:w="9216"/>
            <w:vAlign w:val="top"/>
            <w:shd w:fill="D9EAF7"/>
          </w:tcPr>
          <w:p>
            <w:r>
              <w:rPr>
                <w:sz w:val="18"/>
              </w:rPr>
            </w:r>
            <w:r>
              <w:rPr>
                <w:b/>
                <w:sz w:val="18"/>
              </w:rPr>
              <w:t>Test</w:t>
            </w:r>
          </w:p>
        </w:tc>
      </w:tr>
      <w:tr>
        <w:tc>
          <w:tcPr>
            <w:tcW w:type="dxa" w:w="1440"/>
            <w:vAlign w:val="top"/>
          </w:tcPr>
          <w:p>
            <w:r>
              <w:rPr>
                <w:sz w:val="18"/>
              </w:rPr>
            </w:r>
            <w:r>
              <w:rPr>
                <w:b w:val="0"/>
                <w:sz w:val="18"/>
              </w:rPr>
              <w:t>F2-A</w:t>
            </w:r>
          </w:p>
        </w:tc>
        <w:tc>
          <w:tcPr>
            <w:tcW w:type="dxa" w:w="9216"/>
            <w:vAlign w:val="top"/>
          </w:tcPr>
          <w:p>
            <w:r>
              <w:rPr>
                <w:sz w:val="18"/>
              </w:rPr>
            </w:r>
            <w:r>
              <w:rPr>
                <w:b w:val="0"/>
                <w:sz w:val="18"/>
              </w:rPr>
              <w:t>LP optimizer runs a full year of 15-minute data without SOC violations.</w:t>
            </w:r>
          </w:p>
        </w:tc>
      </w:tr>
      <w:tr>
        <w:tc>
          <w:tcPr>
            <w:tcW w:type="dxa" w:w="1440"/>
            <w:vAlign w:val="top"/>
          </w:tcPr>
          <w:p>
            <w:r>
              <w:rPr>
                <w:sz w:val="18"/>
              </w:rPr>
            </w:r>
            <w:r>
              <w:rPr>
                <w:b w:val="0"/>
                <w:sz w:val="18"/>
              </w:rPr>
              <w:t>F2-B</w:t>
            </w:r>
          </w:p>
        </w:tc>
        <w:tc>
          <w:tcPr>
            <w:tcW w:type="dxa" w:w="9216"/>
            <w:vAlign w:val="top"/>
          </w:tcPr>
          <w:p>
            <w:r>
              <w:rPr>
                <w:sz w:val="18"/>
              </w:rPr>
            </w:r>
            <w:r>
              <w:rPr>
                <w:b w:val="0"/>
                <w:sz w:val="18"/>
              </w:rPr>
              <w:t>No-export mode produces zero grid export for every interval.</w:t>
            </w:r>
          </w:p>
        </w:tc>
      </w:tr>
      <w:tr>
        <w:tc>
          <w:tcPr>
            <w:tcW w:type="dxa" w:w="1440"/>
            <w:vAlign w:val="top"/>
          </w:tcPr>
          <w:p>
            <w:r>
              <w:rPr>
                <w:sz w:val="18"/>
              </w:rPr>
            </w:r>
            <w:r>
              <w:rPr>
                <w:b w:val="0"/>
                <w:sz w:val="18"/>
              </w:rPr>
              <w:t>F2-C</w:t>
            </w:r>
          </w:p>
        </w:tc>
        <w:tc>
          <w:tcPr>
            <w:tcW w:type="dxa" w:w="9216"/>
            <w:vAlign w:val="top"/>
          </w:tcPr>
          <w:p>
            <w:r>
              <w:rPr>
                <w:sz w:val="18"/>
              </w:rPr>
            </w:r>
            <w:r>
              <w:rPr>
                <w:b w:val="0"/>
                <w:sz w:val="18"/>
              </w:rPr>
              <w:t>SOC never falls below reserve SOC or exceeds usable capacity.</w:t>
            </w:r>
          </w:p>
        </w:tc>
      </w:tr>
      <w:tr>
        <w:tc>
          <w:tcPr>
            <w:tcW w:type="dxa" w:w="1440"/>
            <w:vAlign w:val="top"/>
          </w:tcPr>
          <w:p>
            <w:r>
              <w:rPr>
                <w:sz w:val="18"/>
              </w:rPr>
            </w:r>
            <w:r>
              <w:rPr>
                <w:b w:val="0"/>
                <w:sz w:val="18"/>
              </w:rPr>
              <w:t>F2-D</w:t>
            </w:r>
          </w:p>
        </w:tc>
        <w:tc>
          <w:tcPr>
            <w:tcW w:type="dxa" w:w="9216"/>
            <w:vAlign w:val="top"/>
          </w:tcPr>
          <w:p>
            <w:r>
              <w:rPr>
                <w:sz w:val="18"/>
              </w:rPr>
            </w:r>
            <w:r>
              <w:rPr>
                <w:b w:val="0"/>
                <w:sz w:val="18"/>
              </w:rPr>
              <w:t>LP savings are recomputed through the same CFE bill engine as baseline.</w:t>
            </w:r>
          </w:p>
        </w:tc>
      </w:tr>
      <w:tr>
        <w:tc>
          <w:tcPr>
            <w:tcW w:type="dxa" w:w="1440"/>
            <w:vAlign w:val="top"/>
          </w:tcPr>
          <w:p>
            <w:r>
              <w:rPr>
                <w:sz w:val="18"/>
              </w:rPr>
            </w:r>
            <w:r>
              <w:rPr>
                <w:b w:val="0"/>
                <w:sz w:val="18"/>
              </w:rPr>
              <w:t>F2-E</w:t>
            </w:r>
          </w:p>
        </w:tc>
        <w:tc>
          <w:tcPr>
            <w:tcW w:type="dxa" w:w="9216"/>
            <w:vAlign w:val="top"/>
          </w:tcPr>
          <w:p>
            <w:r>
              <w:rPr>
                <w:sz w:val="18"/>
              </w:rPr>
            </w:r>
            <w:r>
              <w:rPr>
                <w:b w:val="0"/>
                <w:sz w:val="18"/>
              </w:rPr>
              <w:t>Reports clearly state dispatch engine used and solver status.</w:t>
            </w:r>
          </w:p>
        </w:tc>
      </w:tr>
      <w:tr>
        <w:tc>
          <w:tcPr>
            <w:tcW w:type="dxa" w:w="1440"/>
            <w:vAlign w:val="top"/>
          </w:tcPr>
          <w:p>
            <w:r>
              <w:rPr>
                <w:sz w:val="18"/>
              </w:rPr>
            </w:r>
            <w:r>
              <w:rPr>
                <w:b w:val="0"/>
                <w:sz w:val="18"/>
              </w:rPr>
              <w:t>F2-F</w:t>
            </w:r>
          </w:p>
        </w:tc>
        <w:tc>
          <w:tcPr>
            <w:tcW w:type="dxa" w:w="9216"/>
            <w:vAlign w:val="top"/>
          </w:tcPr>
          <w:p>
            <w:r>
              <w:rPr>
                <w:sz w:val="18"/>
              </w:rPr>
            </w:r>
            <w:r>
              <w:rPr>
                <w:b w:val="0"/>
                <w:sz w:val="18"/>
              </w:rPr>
              <w:t>If solver fails, app falls back to rule-based screening and marks case as not bankable.</w:t>
            </w:r>
          </w:p>
        </w:tc>
      </w:tr>
    </w:tbl>
    <w:p>
      <w:pPr>
        <w:pStyle w:val="Heading1"/>
      </w:pPr>
      <w:r>
        <w:t>6. Fix 3 - Investment Readiness Gate and Bill Reconciliation</w:t>
      </w:r>
    </w:p>
    <w:p>
      <w:pPr>
        <w:pStyle w:val="Heading2"/>
      </w:pPr>
      <w:r>
        <w:t>6.1 Design intent</w:t>
      </w:r>
    </w:p>
    <w:p>
      <w:r>
        <w:t>The app must not produce GO/NO-GO investor recommendations from synthetic data, incomplete data or poor bill reconciliation. Every case must be labeled DEMO, SCREENING or INVESTMENT READY.</w:t>
      </w:r>
    </w:p>
    <w:p>
      <w:pPr>
        <w:pStyle w:val="Heading2"/>
      </w:pPr>
      <w:r>
        <w:t>6.2 New module</w:t>
      </w:r>
    </w:p>
    <w:p>
      <w:pPr>
        <w:pStyle w:val="CodeBlock"/>
      </w:pPr>
      <w:r>
        <w:rPr>
          <w:rFonts w:ascii="Consolas" w:hAnsi="Consolas"/>
          <w:sz w:val="16"/>
        </w:rPr>
        <w:t>agents/btm_investment_readiness_agent.py</w:t>
      </w:r>
    </w:p>
    <w:p>
      <w:pPr>
        <w:pStyle w:val="Heading2"/>
      </w:pPr>
      <w:r>
        <w:t>6.3 Readiness statuses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Pr>
                <w:sz w:val="18"/>
              </w:rPr>
            </w:r>
            <w:r>
              <w:rPr>
                <w:b/>
                <w:sz w:val="18"/>
              </w:rPr>
              <w:t>Status</w:t>
            </w:r>
          </w:p>
        </w:tc>
        <w:tc>
          <w:tcPr>
            <w:tcW w:type="dxa" w:w="4752"/>
            <w:vAlign w:val="top"/>
            <w:shd w:fill="D9EAF7"/>
          </w:tcPr>
          <w:p>
            <w:r>
              <w:rPr>
                <w:sz w:val="18"/>
              </w:rPr>
            </w:r>
            <w:r>
              <w:rPr>
                <w:b/>
                <w:sz w:val="18"/>
              </w:rPr>
              <w:t>Meaning</w:t>
            </w:r>
          </w:p>
        </w:tc>
        <w:tc>
          <w:tcPr>
            <w:tcW w:type="dxa" w:w="3888"/>
            <w:vAlign w:val="top"/>
            <w:shd w:fill="D9EAF7"/>
          </w:tcPr>
          <w:p>
            <w:r>
              <w:rPr>
                <w:sz w:val="18"/>
              </w:rPr>
            </w:r>
            <w:r>
              <w:rPr>
                <w:b/>
                <w:sz w:val="18"/>
              </w:rPr>
              <w:t>Allowed outputs</w:t>
            </w:r>
          </w:p>
        </w:tc>
      </w:tr>
      <w:tr>
        <w:tc>
          <w:tcPr>
            <w:tcW w:type="dxa" w:w="2016"/>
            <w:vAlign w:val="top"/>
          </w:tcPr>
          <w:p>
            <w:r>
              <w:rPr>
                <w:sz w:val="18"/>
              </w:rPr>
            </w:r>
            <w:r>
              <w:rPr>
                <w:b w:val="0"/>
                <w:sz w:val="18"/>
              </w:rPr>
              <w:t>DEMO</w:t>
            </w:r>
          </w:p>
        </w:tc>
        <w:tc>
          <w:tcPr>
            <w:tcW w:type="dxa" w:w="4752"/>
            <w:vAlign w:val="top"/>
          </w:tcPr>
          <w:p>
            <w:r>
              <w:rPr>
                <w:sz w:val="18"/>
              </w:rPr>
            </w:r>
            <w:r>
              <w:rPr>
                <w:b w:val="0"/>
                <w:sz w:val="18"/>
              </w:rPr>
              <w:t>Synthetic sample data or missing real customer data.</w:t>
            </w:r>
          </w:p>
        </w:tc>
        <w:tc>
          <w:tcPr>
            <w:tcW w:type="dxa" w:w="3888"/>
            <w:vAlign w:val="top"/>
          </w:tcPr>
          <w:p>
            <w:r>
              <w:rPr>
                <w:sz w:val="18"/>
              </w:rPr>
            </w:r>
            <w:r>
              <w:rPr>
                <w:b w:val="0"/>
                <w:sz w:val="18"/>
              </w:rPr>
              <w:t>Charts and educational outputs only. No investor recommendation.</w:t>
            </w:r>
          </w:p>
        </w:tc>
      </w:tr>
      <w:tr>
        <w:tc>
          <w:tcPr>
            <w:tcW w:type="dxa" w:w="2016"/>
            <w:vAlign w:val="top"/>
          </w:tcPr>
          <w:p>
            <w:r>
              <w:rPr>
                <w:sz w:val="18"/>
              </w:rPr>
            </w:r>
            <w:r>
              <w:rPr>
                <w:b w:val="0"/>
                <w:sz w:val="18"/>
              </w:rPr>
              <w:t>SCREENING</w:t>
            </w:r>
          </w:p>
        </w:tc>
        <w:tc>
          <w:tcPr>
            <w:tcW w:type="dxa" w:w="4752"/>
            <w:vAlign w:val="top"/>
          </w:tcPr>
          <w:p>
            <w:r>
              <w:rPr>
                <w:sz w:val="18"/>
              </w:rPr>
            </w:r>
            <w:r>
              <w:rPr>
                <w:b w:val="0"/>
                <w:sz w:val="18"/>
              </w:rPr>
              <w:t>Some real data available but not enough for investment decision.</w:t>
            </w:r>
          </w:p>
        </w:tc>
        <w:tc>
          <w:tcPr>
            <w:tcW w:type="dxa" w:w="3888"/>
            <w:vAlign w:val="top"/>
          </w:tcPr>
          <w:p>
            <w:r>
              <w:rPr>
                <w:sz w:val="18"/>
              </w:rPr>
            </w:r>
            <w:r>
              <w:rPr>
                <w:b w:val="0"/>
                <w:sz w:val="18"/>
              </w:rPr>
              <w:t>Indicative savings and data request list. No GO recommendation.</w:t>
            </w:r>
          </w:p>
        </w:tc>
      </w:tr>
      <w:tr>
        <w:tc>
          <w:tcPr>
            <w:tcW w:type="dxa" w:w="2016"/>
            <w:vAlign w:val="top"/>
          </w:tcPr>
          <w:p>
            <w:r>
              <w:rPr>
                <w:sz w:val="18"/>
              </w:rPr>
            </w:r>
            <w:r>
              <w:rPr>
                <w:b w:val="0"/>
                <w:sz w:val="18"/>
              </w:rPr>
              <w:t>REVISE</w:t>
            </w:r>
          </w:p>
        </w:tc>
        <w:tc>
          <w:tcPr>
            <w:tcW w:type="dxa" w:w="4752"/>
            <w:vAlign w:val="top"/>
          </w:tcPr>
          <w:p>
            <w:r>
              <w:rPr>
                <w:sz w:val="18"/>
              </w:rPr>
            </w:r>
            <w:r>
              <w:rPr>
                <w:b w:val="0"/>
                <w:sz w:val="18"/>
              </w:rPr>
              <w:t>Required data exists but failed quality/reconciliation thresholds.</w:t>
            </w:r>
          </w:p>
        </w:tc>
        <w:tc>
          <w:tcPr>
            <w:tcW w:type="dxa" w:w="3888"/>
            <w:vAlign w:val="top"/>
          </w:tcPr>
          <w:p>
            <w:r>
              <w:rPr>
                <w:sz w:val="18"/>
              </w:rPr>
            </w:r>
            <w:r>
              <w:rPr>
                <w:b w:val="0"/>
                <w:sz w:val="18"/>
              </w:rPr>
              <w:t>Error diagnostics and correction workflow.</w:t>
            </w:r>
          </w:p>
        </w:tc>
      </w:tr>
      <w:tr>
        <w:tc>
          <w:tcPr>
            <w:tcW w:type="dxa" w:w="2016"/>
            <w:vAlign w:val="top"/>
          </w:tcPr>
          <w:p>
            <w:r>
              <w:rPr>
                <w:sz w:val="18"/>
              </w:rPr>
            </w:r>
            <w:r>
              <w:rPr>
                <w:b w:val="0"/>
                <w:sz w:val="18"/>
              </w:rPr>
              <w:t>INVESTMENT READY</w:t>
            </w:r>
          </w:p>
        </w:tc>
        <w:tc>
          <w:tcPr>
            <w:tcW w:type="dxa" w:w="4752"/>
            <w:vAlign w:val="top"/>
          </w:tcPr>
          <w:p>
            <w:r>
              <w:rPr>
                <w:sz w:val="18"/>
              </w:rPr>
            </w:r>
            <w:r>
              <w:rPr>
                <w:b w:val="0"/>
                <w:sz w:val="18"/>
              </w:rPr>
              <w:t>Required data and reconciliation gates passed.</w:t>
            </w:r>
          </w:p>
        </w:tc>
        <w:tc>
          <w:tcPr>
            <w:tcW w:type="dxa" w:w="3888"/>
            <w:vAlign w:val="top"/>
          </w:tcPr>
          <w:p>
            <w:r>
              <w:rPr>
                <w:sz w:val="18"/>
              </w:rPr>
            </w:r>
            <w:r>
              <w:rPr>
                <w:b w:val="0"/>
                <w:sz w:val="18"/>
              </w:rPr>
              <w:t>GO/REVISE/NO-GO allowed with evidence package.</w:t>
            </w:r>
          </w:p>
        </w:tc>
      </w:tr>
    </w:tbl>
    <w:p>
      <w:pPr>
        <w:pStyle w:val="Heading2"/>
      </w:pPr>
      <w:r>
        <w:t>6.4 Required gates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D9EAF7"/>
          </w:tcPr>
          <w:p>
            <w:r>
              <w:rPr>
                <w:sz w:val="18"/>
              </w:rPr>
            </w:r>
            <w:r>
              <w:rPr>
                <w:b/>
                <w:sz w:val="18"/>
              </w:rPr>
              <w:t>Gate</w:t>
            </w:r>
          </w:p>
        </w:tc>
        <w:tc>
          <w:tcPr>
            <w:tcW w:type="dxa" w:w="5760"/>
            <w:vAlign w:val="top"/>
            <w:shd w:fill="D9EAF7"/>
          </w:tcPr>
          <w:p>
            <w:r>
              <w:rPr>
                <w:sz w:val="18"/>
              </w:rPr>
            </w:r>
            <w:r>
              <w:rPr>
                <w:b/>
                <w:sz w:val="18"/>
              </w:rPr>
              <w:t>Pass condition</w:t>
            </w:r>
          </w:p>
        </w:tc>
        <w:tc>
          <w:tcPr>
            <w:tcW w:type="dxa" w:w="2016"/>
            <w:vAlign w:val="top"/>
            <w:shd w:fill="D9EAF7"/>
          </w:tcPr>
          <w:p>
            <w:r>
              <w:rPr>
                <w:sz w:val="18"/>
              </w:rPr>
            </w:r>
            <w:r>
              <w:rPr>
                <w:b/>
                <w:sz w:val="18"/>
              </w:rPr>
              <w:t>Failure status</w:t>
            </w:r>
          </w:p>
        </w:tc>
      </w:tr>
      <w:tr>
        <w:tc>
          <w:tcPr>
            <w:tcW w:type="dxa" w:w="2880"/>
            <w:vAlign w:val="top"/>
          </w:tcPr>
          <w:p>
            <w:r>
              <w:rPr>
                <w:sz w:val="18"/>
              </w:rPr>
            </w:r>
            <w:r>
              <w:rPr>
                <w:b w:val="0"/>
                <w:sz w:val="18"/>
              </w:rPr>
              <w:t>CFE bills</w:t>
            </w:r>
          </w:p>
        </w:tc>
        <w:tc>
          <w:tcPr>
            <w:tcW w:type="dxa" w:w="5760"/>
            <w:vAlign w:val="top"/>
          </w:tcPr>
          <w:p>
            <w:r>
              <w:rPr>
                <w:sz w:val="18"/>
              </w:rPr>
            </w:r>
            <w:r>
              <w:rPr>
                <w:b w:val="0"/>
                <w:sz w:val="18"/>
              </w:rPr>
              <w:t>At least 12 monthly bills, PDF/XML or structured tariff bill file.</w:t>
            </w:r>
          </w:p>
        </w:tc>
        <w:tc>
          <w:tcPr>
            <w:tcW w:type="dxa" w:w="2016"/>
            <w:vAlign w:val="top"/>
          </w:tcPr>
          <w:p>
            <w:r>
              <w:rPr>
                <w:sz w:val="18"/>
              </w:rPr>
            </w:r>
            <w:r>
              <w:rPr>
                <w:b w:val="0"/>
                <w:sz w:val="18"/>
              </w:rPr>
              <w:t>SCREENING</w:t>
            </w:r>
          </w:p>
        </w:tc>
      </w:tr>
      <w:tr>
        <w:tc>
          <w:tcPr>
            <w:tcW w:type="dxa" w:w="2880"/>
            <w:vAlign w:val="top"/>
          </w:tcPr>
          <w:p>
            <w:r>
              <w:rPr>
                <w:sz w:val="18"/>
              </w:rPr>
            </w:r>
            <w:r>
              <w:rPr>
                <w:b w:val="0"/>
                <w:sz w:val="18"/>
              </w:rPr>
              <w:t>15-minute load</w:t>
            </w:r>
          </w:p>
        </w:tc>
        <w:tc>
          <w:tcPr>
            <w:tcW w:type="dxa" w:w="5760"/>
            <w:vAlign w:val="top"/>
          </w:tcPr>
          <w:p>
            <w:r>
              <w:rPr>
                <w:sz w:val="18"/>
              </w:rPr>
            </w:r>
            <w:r>
              <w:rPr>
                <w:b w:val="0"/>
                <w:sz w:val="18"/>
              </w:rPr>
              <w:t>At least 12 months; missing intervals &lt;= 1%.</w:t>
            </w:r>
          </w:p>
        </w:tc>
        <w:tc>
          <w:tcPr>
            <w:tcW w:type="dxa" w:w="2016"/>
            <w:vAlign w:val="top"/>
          </w:tcPr>
          <w:p>
            <w:r>
              <w:rPr>
                <w:sz w:val="18"/>
              </w:rPr>
            </w:r>
            <w:r>
              <w:rPr>
                <w:b w:val="0"/>
                <w:sz w:val="18"/>
              </w:rPr>
              <w:t>SCREENING or REVISE</w:t>
            </w:r>
          </w:p>
        </w:tc>
      </w:tr>
      <w:tr>
        <w:tc>
          <w:tcPr>
            <w:tcW w:type="dxa" w:w="2880"/>
            <w:vAlign w:val="top"/>
          </w:tcPr>
          <w:p>
            <w:r>
              <w:rPr>
                <w:sz w:val="18"/>
              </w:rPr>
            </w:r>
            <w:r>
              <w:rPr>
                <w:b w:val="0"/>
                <w:sz w:val="18"/>
              </w:rPr>
              <w:t>Tariff confirmed</w:t>
            </w:r>
          </w:p>
        </w:tc>
        <w:tc>
          <w:tcPr>
            <w:tcW w:type="dxa" w:w="5760"/>
            <w:vAlign w:val="top"/>
          </w:tcPr>
          <w:p>
            <w:r>
              <w:rPr>
                <w:sz w:val="18"/>
              </w:rPr>
            </w:r>
            <w:r>
              <w:rPr>
                <w:b w:val="0"/>
                <w:sz w:val="18"/>
              </w:rPr>
              <w:t>Tariff, division, billing period and service class confirmed.</w:t>
            </w:r>
          </w:p>
        </w:tc>
        <w:tc>
          <w:tcPr>
            <w:tcW w:type="dxa" w:w="2016"/>
            <w:vAlign w:val="top"/>
          </w:tcPr>
          <w:p>
            <w:r>
              <w:rPr>
                <w:sz w:val="18"/>
              </w:rPr>
            </w:r>
            <w:r>
              <w:rPr>
                <w:b w:val="0"/>
                <w:sz w:val="18"/>
              </w:rPr>
              <w:t>SCREENING</w:t>
            </w:r>
          </w:p>
        </w:tc>
      </w:tr>
      <w:tr>
        <w:tc>
          <w:tcPr>
            <w:tcW w:type="dxa" w:w="2880"/>
            <w:vAlign w:val="top"/>
          </w:tcPr>
          <w:p>
            <w:r>
              <w:rPr>
                <w:sz w:val="18"/>
              </w:rPr>
            </w:r>
            <w:r>
              <w:rPr>
                <w:b w:val="0"/>
                <w:sz w:val="18"/>
              </w:rPr>
              <w:t>Bill reconstruction</w:t>
            </w:r>
          </w:p>
        </w:tc>
        <w:tc>
          <w:tcPr>
            <w:tcW w:type="dxa" w:w="5760"/>
            <w:vAlign w:val="top"/>
          </w:tcPr>
          <w:p>
            <w:r>
              <w:rPr>
                <w:sz w:val="18"/>
              </w:rPr>
            </w:r>
            <w:r>
              <w:rPr>
                <w:b w:val="0"/>
                <w:sz w:val="18"/>
              </w:rPr>
              <w:t>Absolute monthly total error &lt;= 3% for most months and annual error &lt;= 3%.</w:t>
            </w:r>
          </w:p>
        </w:tc>
        <w:tc>
          <w:tcPr>
            <w:tcW w:type="dxa" w:w="2016"/>
            <w:vAlign w:val="top"/>
          </w:tcPr>
          <w:p>
            <w:r>
              <w:rPr>
                <w:sz w:val="18"/>
              </w:rPr>
            </w:r>
            <w:r>
              <w:rPr>
                <w:b w:val="0"/>
                <w:sz w:val="18"/>
              </w:rPr>
              <w:t>REVISE</w:t>
            </w:r>
          </w:p>
        </w:tc>
      </w:tr>
      <w:tr>
        <w:tc>
          <w:tcPr>
            <w:tcW w:type="dxa" w:w="2880"/>
            <w:vAlign w:val="top"/>
          </w:tcPr>
          <w:p>
            <w:r>
              <w:rPr>
                <w:sz w:val="18"/>
              </w:rPr>
            </w:r>
            <w:r>
              <w:rPr>
                <w:b w:val="0"/>
                <w:sz w:val="18"/>
              </w:rPr>
              <w:t>Demand validation</w:t>
            </w:r>
          </w:p>
        </w:tc>
        <w:tc>
          <w:tcPr>
            <w:tcW w:type="dxa" w:w="5760"/>
            <w:vAlign w:val="top"/>
          </w:tcPr>
          <w:p>
            <w:r>
              <w:rPr>
                <w:sz w:val="18"/>
              </w:rPr>
            </w:r>
            <w:r>
              <w:rPr>
                <w:b w:val="0"/>
                <w:sz w:val="18"/>
              </w:rPr>
              <w:t>Dmaxmensual and Dmaxpunta can be computed from 15-min profile.</w:t>
            </w:r>
          </w:p>
        </w:tc>
        <w:tc>
          <w:tcPr>
            <w:tcW w:type="dxa" w:w="2016"/>
            <w:vAlign w:val="top"/>
          </w:tcPr>
          <w:p>
            <w:r>
              <w:rPr>
                <w:sz w:val="18"/>
              </w:rPr>
            </w:r>
            <w:r>
              <w:rPr>
                <w:b w:val="0"/>
                <w:sz w:val="18"/>
              </w:rPr>
              <w:t>REVISE</w:t>
            </w:r>
          </w:p>
        </w:tc>
      </w:tr>
      <w:tr>
        <w:tc>
          <w:tcPr>
            <w:tcW w:type="dxa" w:w="2880"/>
            <w:vAlign w:val="top"/>
          </w:tcPr>
          <w:p>
            <w:r>
              <w:rPr>
                <w:sz w:val="18"/>
              </w:rPr>
            </w:r>
            <w:r>
              <w:rPr>
                <w:b w:val="0"/>
                <w:sz w:val="18"/>
              </w:rPr>
              <w:t>Power factor</w:t>
            </w:r>
          </w:p>
        </w:tc>
        <w:tc>
          <w:tcPr>
            <w:tcW w:type="dxa" w:w="5760"/>
            <w:vAlign w:val="top"/>
          </w:tcPr>
          <w:p>
            <w:r>
              <w:rPr>
                <w:sz w:val="18"/>
              </w:rPr>
            </w:r>
            <w:r>
              <w:rPr>
                <w:b w:val="0"/>
                <w:sz w:val="18"/>
              </w:rPr>
              <w:t>Available or explicitly marked as excluded from bill reconstruction.</w:t>
            </w:r>
          </w:p>
        </w:tc>
        <w:tc>
          <w:tcPr>
            <w:tcW w:type="dxa" w:w="2016"/>
            <w:vAlign w:val="top"/>
          </w:tcPr>
          <w:p>
            <w:r>
              <w:rPr>
                <w:sz w:val="18"/>
              </w:rPr>
            </w:r>
            <w:r>
              <w:rPr>
                <w:b w:val="0"/>
                <w:sz w:val="18"/>
              </w:rPr>
              <w:t>SCREENING</w:t>
            </w:r>
          </w:p>
        </w:tc>
      </w:tr>
      <w:tr>
        <w:tc>
          <w:tcPr>
            <w:tcW w:type="dxa" w:w="2880"/>
            <w:vAlign w:val="top"/>
          </w:tcPr>
          <w:p>
            <w:r>
              <w:rPr>
                <w:sz w:val="18"/>
              </w:rPr>
            </w:r>
            <w:r>
              <w:rPr>
                <w:b w:val="0"/>
                <w:sz w:val="18"/>
              </w:rPr>
              <w:t>PV profile</w:t>
            </w:r>
          </w:p>
        </w:tc>
        <w:tc>
          <w:tcPr>
            <w:tcW w:type="dxa" w:w="5760"/>
            <w:vAlign w:val="top"/>
          </w:tcPr>
          <w:p>
            <w:r>
              <w:rPr>
                <w:sz w:val="18"/>
              </w:rPr>
            </w:r>
            <w:r>
              <w:rPr>
                <w:b w:val="0"/>
                <w:sz w:val="18"/>
              </w:rPr>
              <w:t>Required only for PV+BESS case.</w:t>
            </w:r>
          </w:p>
        </w:tc>
        <w:tc>
          <w:tcPr>
            <w:tcW w:type="dxa" w:w="2016"/>
            <w:vAlign w:val="top"/>
          </w:tcPr>
          <w:p>
            <w:r>
              <w:rPr>
                <w:sz w:val="18"/>
              </w:rPr>
            </w:r>
            <w:r>
              <w:rPr>
                <w:b w:val="0"/>
                <w:sz w:val="18"/>
              </w:rPr>
              <w:t>SCREENING</w:t>
            </w:r>
          </w:p>
        </w:tc>
      </w:tr>
      <w:tr>
        <w:tc>
          <w:tcPr>
            <w:tcW w:type="dxa" w:w="2880"/>
            <w:vAlign w:val="top"/>
          </w:tcPr>
          <w:p>
            <w:r>
              <w:rPr>
                <w:sz w:val="18"/>
              </w:rPr>
            </w:r>
            <w:r>
              <w:rPr>
                <w:b w:val="0"/>
                <w:sz w:val="18"/>
              </w:rPr>
              <w:t>Synthetic data flag</w:t>
            </w:r>
          </w:p>
        </w:tc>
        <w:tc>
          <w:tcPr>
            <w:tcW w:type="dxa" w:w="5760"/>
            <w:vAlign w:val="top"/>
          </w:tcPr>
          <w:p>
            <w:r>
              <w:rPr>
                <w:sz w:val="18"/>
              </w:rPr>
            </w:r>
            <w:r>
              <w:rPr>
                <w:b w:val="0"/>
                <w:sz w:val="18"/>
              </w:rPr>
              <w:t>False for investment-ready cases.</w:t>
            </w:r>
          </w:p>
        </w:tc>
        <w:tc>
          <w:tcPr>
            <w:tcW w:type="dxa" w:w="2016"/>
            <w:vAlign w:val="top"/>
          </w:tcPr>
          <w:p>
            <w:r>
              <w:rPr>
                <w:sz w:val="18"/>
              </w:rPr>
            </w:r>
            <w:r>
              <w:rPr>
                <w:b w:val="0"/>
                <w:sz w:val="18"/>
              </w:rPr>
              <w:t>DEMO</w:t>
            </w:r>
          </w:p>
        </w:tc>
      </w:tr>
    </w:tbl>
    <w:p>
      <w:pPr>
        <w:pStyle w:val="Heading2"/>
      </w:pPr>
      <w:r>
        <w:t>6.5 Developer function signature</w:t>
      </w:r>
    </w:p>
    <w:p>
      <w:pPr>
        <w:pStyle w:val="CodeBlock"/>
      </w:pPr>
      <w:r>
        <w:rPr>
          <w:rFonts w:ascii="Consolas" w:hAnsi="Consolas"/>
          <w:sz w:val="16"/>
        </w:rPr>
        <w:t>def evaluate_investment_readiness(</w:t>
        <w:br/>
        <w:t xml:space="preserve">    customer_files: dict,</w:t>
        <w:br/>
        <w:t xml:space="preserve">    meter_quality: dict,</w:t>
        <w:br/>
        <w:t xml:space="preserve">    bill_reconstruction: dict,</w:t>
        <w:br/>
        <w:t xml:space="preserve">    project_config: dict,</w:t>
        <w:br/>
        <w:t>) -&gt; dict:</w:t>
        <w:br/>
        <w:t xml:space="preserve">    """</w:t>
        <w:br/>
        <w:t xml:space="preserve">    Returns status, blocking_issues, warnings, allowed_actions,</w:t>
        <w:br/>
        <w:t xml:space="preserve">    required_next_files and confidence_score.</w:t>
        <w:br/>
        <w:t xml:space="preserve">    """</w:t>
      </w:r>
    </w:p>
    <w:p>
      <w:pPr>
        <w:pStyle w:val="Heading2"/>
      </w:pPr>
      <w:r>
        <w:t>6.6 Pseudocode</w:t>
      </w:r>
    </w:p>
    <w:p>
      <w:pPr>
        <w:pStyle w:val="CodeBlock"/>
      </w:pPr>
      <w:r>
        <w:rPr>
          <w:rFonts w:ascii="Consolas" w:hAnsi="Consolas"/>
          <w:sz w:val="16"/>
        </w:rPr>
        <w:t>def evaluate_investment_readiness(customer_files, meter_quality, bill_reconstruction, project_config):</w:t>
        <w:br/>
        <w:t xml:space="preserve">    issues = []</w:t>
        <w:br/>
        <w:t xml:space="preserve">    warnings = []</w:t>
        <w:br/>
        <w:br/>
        <w:t xml:space="preserve">    if project_config.get("uses_synthetic_data", False):</w:t>
        <w:br/>
        <w:t xml:space="preserve">        return status("DEMO", ["Synthetic sample data in use"], allowed=["view_demo", "export_demo_report"])</w:t>
        <w:br/>
        <w:br/>
        <w:t xml:space="preserve">    if customer_files.get("cfe_bill_months", 0) &lt; 12:</w:t>
        <w:br/>
        <w:t xml:space="preserve">        issues.append("Upload 12 monthly CFE bills")</w:t>
        <w:br/>
        <w:t xml:space="preserve">    if meter_quality.get("months_15min", 0) &lt; 12:</w:t>
        <w:br/>
        <w:t xml:space="preserve">        issues.append("Upload 12 months of 15-minute load data")</w:t>
        <w:br/>
        <w:t xml:space="preserve">    if meter_quality.get("missing_interval_pct", 100) &gt; 1:</w:t>
        <w:br/>
        <w:t xml:space="preserve">        issues.append("15-minute meter data has more than 1% missing intervals")</w:t>
        <w:br/>
        <w:t xml:space="preserve">    if not project_config.get("tariff_confirmed", False):</w:t>
        <w:br/>
        <w:t xml:space="preserve">        issues.append("Confirm CFE tariff and division")</w:t>
        <w:br/>
        <w:br/>
        <w:t xml:space="preserve">    if issues:</w:t>
        <w:br/>
        <w:t xml:space="preserve">        return status("SCREENING", issues, allowed=["indicative_savings", "data_request"])</w:t>
        <w:br/>
        <w:br/>
        <w:t xml:space="preserve">    if bill_reconstruction.get("annual_error_pct", 100) &gt; 3:</w:t>
        <w:br/>
        <w:t xml:space="preserve">        return status("REVISE", ["Baseline bill reconstruction error exceeds 3%"], allowed=["qa_report"])</w:t>
        <w:br/>
        <w:br/>
        <w:t xml:space="preserve">    if bill_reconstruction.get("months_failed", 0) &gt; 2:</w:t>
        <w:br/>
        <w:t xml:space="preserve">        return status("REVISE", ["Too many monthly reconstruction failures"], allowed=["qa_report"])</w:t>
        <w:br/>
        <w:br/>
        <w:t xml:space="preserve">    return status("INVESTMENT_READY", warnings, allowed=["go_revise_nogo", "investor_report", "evidence_package"])</w:t>
      </w:r>
    </w:p>
    <w:p>
      <w:pPr>
        <w:pStyle w:val="Heading2"/>
      </w:pPr>
      <w:r>
        <w:t>6.7 UI requirements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Pr>
                <w:sz w:val="18"/>
              </w:rPr>
            </w:r>
            <w:r>
              <w:rPr>
                <w:b/>
                <w:sz w:val="18"/>
              </w:rPr>
              <w:t>Screen</w:t>
            </w:r>
          </w:p>
        </w:tc>
        <w:tc>
          <w:tcPr>
            <w:tcW w:type="dxa" w:w="7776"/>
            <w:vAlign w:val="top"/>
            <w:shd w:fill="D9EAF7"/>
          </w:tcPr>
          <w:p>
            <w:r>
              <w:rPr>
                <w:sz w:val="18"/>
              </w:rPr>
            </w:r>
            <w:r>
              <w:rPr>
                <w:b/>
                <w:sz w:val="18"/>
              </w:rPr>
              <w:t>New element</w:t>
            </w:r>
          </w:p>
        </w:tc>
      </w:tr>
      <w:tr>
        <w:tc>
          <w:tcPr>
            <w:tcW w:type="dxa" w:w="2880"/>
            <w:vAlign w:val="top"/>
          </w:tcPr>
          <w:p>
            <w:r>
              <w:rPr>
                <w:sz w:val="18"/>
              </w:rPr>
            </w:r>
            <w:r>
              <w:rPr>
                <w:b w:val="0"/>
                <w:sz w:val="18"/>
              </w:rPr>
              <w:t>Uploads</w:t>
            </w:r>
          </w:p>
        </w:tc>
        <w:tc>
          <w:tcPr>
            <w:tcW w:type="dxa" w:w="7776"/>
            <w:vAlign w:val="top"/>
          </w:tcPr>
          <w:p>
            <w:r>
              <w:rPr>
                <w:sz w:val="18"/>
              </w:rPr>
            </w:r>
            <w:r>
              <w:rPr>
                <w:b w:val="0"/>
                <w:sz w:val="18"/>
              </w:rPr>
              <w:t>Show completeness checklist: bills, load data, PV data, tariff, power factor, contracted demand.</w:t>
            </w:r>
          </w:p>
        </w:tc>
      </w:tr>
      <w:tr>
        <w:tc>
          <w:tcPr>
            <w:tcW w:type="dxa" w:w="2880"/>
            <w:vAlign w:val="top"/>
          </w:tcPr>
          <w:p>
            <w:r>
              <w:rPr>
                <w:sz w:val="18"/>
              </w:rPr>
            </w:r>
            <w:r>
              <w:rPr>
                <w:b w:val="0"/>
                <w:sz w:val="18"/>
              </w:rPr>
              <w:t>Baseline bill</w:t>
            </w:r>
          </w:p>
        </w:tc>
        <w:tc>
          <w:tcPr>
            <w:tcW w:type="dxa" w:w="7776"/>
            <w:vAlign w:val="top"/>
          </w:tcPr>
          <w:p>
            <w:r>
              <w:rPr>
                <w:sz w:val="18"/>
              </w:rPr>
            </w:r>
            <w:r>
              <w:rPr>
                <w:b w:val="0"/>
                <w:sz w:val="18"/>
              </w:rPr>
              <w:t>Show CFE actual vs reconstructed, monthly error %, annual error %, failed months.</w:t>
            </w:r>
          </w:p>
        </w:tc>
      </w:tr>
      <w:tr>
        <w:tc>
          <w:tcPr>
            <w:tcW w:type="dxa" w:w="2880"/>
            <w:vAlign w:val="top"/>
          </w:tcPr>
          <w:p>
            <w:r>
              <w:rPr>
                <w:sz w:val="18"/>
              </w:rPr>
            </w:r>
            <w:r>
              <w:rPr>
                <w:b w:val="0"/>
                <w:sz w:val="18"/>
              </w:rPr>
              <w:t>Investor dashboard</w:t>
            </w:r>
          </w:p>
        </w:tc>
        <w:tc>
          <w:tcPr>
            <w:tcW w:type="dxa" w:w="7776"/>
            <w:vAlign w:val="top"/>
          </w:tcPr>
          <w:p>
            <w:r>
              <w:rPr>
                <w:sz w:val="18"/>
              </w:rPr>
            </w:r>
            <w:r>
              <w:rPr>
                <w:b w:val="0"/>
                <w:sz w:val="18"/>
              </w:rPr>
              <w:t>Show colored case status badge: DEMO / SCREENING / REVISE / INVESTMENT READY.</w:t>
            </w:r>
          </w:p>
        </w:tc>
      </w:tr>
      <w:tr>
        <w:tc>
          <w:tcPr>
            <w:tcW w:type="dxa" w:w="2880"/>
            <w:vAlign w:val="top"/>
          </w:tcPr>
          <w:p>
            <w:r>
              <w:rPr>
                <w:sz w:val="18"/>
              </w:rPr>
            </w:r>
            <w:r>
              <w:rPr>
                <w:b w:val="0"/>
                <w:sz w:val="18"/>
              </w:rPr>
              <w:t>Reports</w:t>
            </w:r>
          </w:p>
        </w:tc>
        <w:tc>
          <w:tcPr>
            <w:tcW w:type="dxa" w:w="7776"/>
            <w:vAlign w:val="top"/>
          </w:tcPr>
          <w:p>
            <w:r>
              <w:rPr>
                <w:sz w:val="18"/>
              </w:rPr>
            </w:r>
            <w:r>
              <w:rPr>
                <w:b w:val="0"/>
                <w:sz w:val="18"/>
              </w:rPr>
              <w:t>Disable investor report export if not INVESTMENT READY, or watermark as SCREENING ONLY.</w:t>
            </w:r>
          </w:p>
        </w:tc>
      </w:tr>
    </w:tbl>
    <w:p>
      <w:pPr>
        <w:pStyle w:val="Heading2"/>
      </w:pPr>
      <w:r>
        <w:t>6.8 Acceptance criteria</w:t>
      </w:r>
    </w:p>
    <w:tbl>
      <w:tblPr>
        <w:tblStyle w:val="TableGrid"/>
        <w:tblW w:type="auto" w:w="0"/>
        <w:jc w:val="center"/>
        <w:tblLook w:firstColumn="1" w:firstRow="1" w:lastColumn="0" w:lastRow="0" w:noHBand="0" w:noVBand="1" w:val="04A0"/>
      </w:tblPr>
      <w:tblGrid>
        <w:gridCol w:w="5184"/>
        <w:gridCol w:w="5184"/>
      </w:tblGrid>
      <w:tr>
        <w:tc>
          <w:tcPr>
            <w:tcW w:type="dxa" w:w="1440"/>
            <w:vAlign w:val="top"/>
            <w:shd w:fill="D9EAF7"/>
          </w:tcPr>
          <w:p>
            <w:r>
              <w:rPr>
                <w:sz w:val="18"/>
              </w:rPr>
            </w:r>
            <w:r>
              <w:rPr>
                <w:b/>
                <w:sz w:val="18"/>
              </w:rPr>
              <w:t>ID</w:t>
            </w:r>
          </w:p>
        </w:tc>
        <w:tc>
          <w:tcPr>
            <w:tcW w:type="dxa" w:w="9216"/>
            <w:vAlign w:val="top"/>
            <w:shd w:fill="D9EAF7"/>
          </w:tcPr>
          <w:p>
            <w:r>
              <w:rPr>
                <w:sz w:val="18"/>
              </w:rPr>
            </w:r>
            <w:r>
              <w:rPr>
                <w:b/>
                <w:sz w:val="18"/>
              </w:rPr>
              <w:t>Test</w:t>
            </w:r>
          </w:p>
        </w:tc>
      </w:tr>
      <w:tr>
        <w:tc>
          <w:tcPr>
            <w:tcW w:type="dxa" w:w="1440"/>
            <w:vAlign w:val="top"/>
          </w:tcPr>
          <w:p>
            <w:r>
              <w:rPr>
                <w:sz w:val="18"/>
              </w:rPr>
            </w:r>
            <w:r>
              <w:rPr>
                <w:b w:val="0"/>
                <w:sz w:val="18"/>
              </w:rPr>
              <w:t>F3-A</w:t>
            </w:r>
          </w:p>
        </w:tc>
        <w:tc>
          <w:tcPr>
            <w:tcW w:type="dxa" w:w="9216"/>
            <w:vAlign w:val="top"/>
          </w:tcPr>
          <w:p>
            <w:r>
              <w:rPr>
                <w:sz w:val="18"/>
              </w:rPr>
            </w:r>
            <w:r>
              <w:rPr>
                <w:b w:val="0"/>
                <w:sz w:val="18"/>
              </w:rPr>
              <w:t>Synthetic sample data always returns DEMO and never returns GO.</w:t>
            </w:r>
          </w:p>
        </w:tc>
      </w:tr>
      <w:tr>
        <w:tc>
          <w:tcPr>
            <w:tcW w:type="dxa" w:w="1440"/>
            <w:vAlign w:val="top"/>
          </w:tcPr>
          <w:p>
            <w:r>
              <w:rPr>
                <w:sz w:val="18"/>
              </w:rPr>
            </w:r>
            <w:r>
              <w:rPr>
                <w:b w:val="0"/>
                <w:sz w:val="18"/>
              </w:rPr>
              <w:t>F3-B</w:t>
            </w:r>
          </w:p>
        </w:tc>
        <w:tc>
          <w:tcPr>
            <w:tcW w:type="dxa" w:w="9216"/>
            <w:vAlign w:val="top"/>
          </w:tcPr>
          <w:p>
            <w:r>
              <w:rPr>
                <w:sz w:val="18"/>
              </w:rPr>
            </w:r>
            <w:r>
              <w:rPr>
                <w:b w:val="0"/>
                <w:sz w:val="18"/>
              </w:rPr>
              <w:t>Less than 12 months of bills or load returns SCREENING.</w:t>
            </w:r>
          </w:p>
        </w:tc>
      </w:tr>
      <w:tr>
        <w:tc>
          <w:tcPr>
            <w:tcW w:type="dxa" w:w="1440"/>
            <w:vAlign w:val="top"/>
          </w:tcPr>
          <w:p>
            <w:r>
              <w:rPr>
                <w:sz w:val="18"/>
              </w:rPr>
            </w:r>
            <w:r>
              <w:rPr>
                <w:b w:val="0"/>
                <w:sz w:val="18"/>
              </w:rPr>
              <w:t>F3-C</w:t>
            </w:r>
          </w:p>
        </w:tc>
        <w:tc>
          <w:tcPr>
            <w:tcW w:type="dxa" w:w="9216"/>
            <w:vAlign w:val="top"/>
          </w:tcPr>
          <w:p>
            <w:r>
              <w:rPr>
                <w:sz w:val="18"/>
              </w:rPr>
            </w:r>
            <w:r>
              <w:rPr>
                <w:b w:val="0"/>
                <w:sz w:val="18"/>
              </w:rPr>
              <w:t>Bill reconstruction error above 3% returns REVISE.</w:t>
            </w:r>
          </w:p>
        </w:tc>
      </w:tr>
      <w:tr>
        <w:tc>
          <w:tcPr>
            <w:tcW w:type="dxa" w:w="1440"/>
            <w:vAlign w:val="top"/>
          </w:tcPr>
          <w:p>
            <w:r>
              <w:rPr>
                <w:sz w:val="18"/>
              </w:rPr>
            </w:r>
            <w:r>
              <w:rPr>
                <w:b w:val="0"/>
                <w:sz w:val="18"/>
              </w:rPr>
              <w:t>F3-D</w:t>
            </w:r>
          </w:p>
        </w:tc>
        <w:tc>
          <w:tcPr>
            <w:tcW w:type="dxa" w:w="9216"/>
            <w:vAlign w:val="top"/>
          </w:tcPr>
          <w:p>
            <w:r>
              <w:rPr>
                <w:sz w:val="18"/>
              </w:rPr>
            </w:r>
            <w:r>
              <w:rPr>
                <w:b w:val="0"/>
                <w:sz w:val="18"/>
              </w:rPr>
              <w:t>Only INVESTMENT READY cases can produce GO/REVISE/NO-GO.</w:t>
            </w:r>
          </w:p>
        </w:tc>
      </w:tr>
      <w:tr>
        <w:tc>
          <w:tcPr>
            <w:tcW w:type="dxa" w:w="1440"/>
            <w:vAlign w:val="top"/>
          </w:tcPr>
          <w:p>
            <w:r>
              <w:rPr>
                <w:sz w:val="18"/>
              </w:rPr>
            </w:r>
            <w:r>
              <w:rPr>
                <w:b w:val="0"/>
                <w:sz w:val="18"/>
              </w:rPr>
              <w:t>F3-E</w:t>
            </w:r>
          </w:p>
        </w:tc>
        <w:tc>
          <w:tcPr>
            <w:tcW w:type="dxa" w:w="9216"/>
            <w:vAlign w:val="top"/>
          </w:tcPr>
          <w:p>
            <w:r>
              <w:rPr>
                <w:sz w:val="18"/>
              </w:rPr>
            </w:r>
            <w:r>
              <w:rPr>
                <w:b w:val="0"/>
                <w:sz w:val="18"/>
              </w:rPr>
              <w:t>Every report and dashboard includes case status and data completeness.</w:t>
            </w:r>
          </w:p>
        </w:tc>
      </w:tr>
    </w:tbl>
    <w:p>
      <w:pPr>
        <w:pStyle w:val="Heading1"/>
      </w:pPr>
      <w:r>
        <w:t>7. End-to-End Flow After Fixes</w:t>
      </w:r>
    </w:p>
    <w:p>
      <w:pPr>
        <w:pStyle w:val="CodeBlock"/>
      </w:pPr>
      <w:r>
        <w:rPr>
          <w:rFonts w:ascii="Consolas" w:hAnsi="Consolas"/>
          <w:sz w:val="16"/>
        </w:rPr>
        <w:t>1. User enters BTM module</w:t>
        <w:br/>
        <w:t>2. App sets project_mode = BTM_CFE and activates revenue guard</w:t>
        <w:br/>
        <w:t>3. User uploads CFE bills, 15-min load, tariff data, PV profile if needed</w:t>
        <w:br/>
        <w:t>4. Data quality engine validates timestamps, missing intervals, tariff coverage and synthetic flags</w:t>
        <w:br/>
        <w:t>5. Baseline bill engine reconstructs CFE bills and calculates error</w:t>
        <w:br/>
        <w:t>6. Investment readiness agent labels case: DEMO, SCREENING, REVISE or INVESTMENT READY</w:t>
        <w:br/>
        <w:t>7. If SCREENING/REVISE: show indicative output and data correction actions only</w:t>
        <w:br/>
        <w:t>8. If INVESTMENT READY: user selects BESS/PV+BESS sizing scenarios</w:t>
        <w:br/>
        <w:t>9. LP optimizer runs bankable dispatch; rule-based engine can be shown for comparison</w:t>
        <w:br/>
        <w:t>10. Bill engine calculates optimized CFE bill using the same tariff logic as baseline</w:t>
        <w:br/>
        <w:t>11. Investor agent applies haircuts, financing terms and red-flag logic</w:t>
        <w:br/>
        <w:t>12. App produces customer dashboard, investor case and evidence package</w:t>
      </w:r>
    </w:p>
    <w:p>
      <w:pPr>
        <w:pStyle w:val="Heading1"/>
      </w:pPr>
      <w:r>
        <w:t>8. Data Model Additions</w:t>
      </w:r>
    </w:p>
    <w:p>
      <w:pPr>
        <w:pStyle w:val="CodeBlock"/>
      </w:pPr>
      <w:r>
        <w:rPr>
          <w:rFonts w:ascii="Consolas" w:hAnsi="Consolas"/>
          <w:sz w:val="16"/>
        </w:rPr>
        <w:t>CREATE TABLE btm_case_status (</w:t>
        <w:br/>
        <w:t xml:space="preserve">    case_id TEXT PRIMARY KEY,</w:t>
        <w:br/>
        <w:t xml:space="preserve">    status TEXT, -- DEMO, SCREENING, REVISE, INVESTMENT_READY</w:t>
        <w:br/>
        <w:t xml:space="preserve">    confidence_score REAL,</w:t>
        <w:br/>
        <w:t xml:space="preserve">    blocking_issues_json TEXT,</w:t>
        <w:br/>
        <w:t xml:space="preserve">    warnings_json TEXT,</w:t>
        <w:br/>
        <w:t xml:space="preserve">    created_at TIMESTAMP</w:t>
        <w:br/>
        <w:t>);</w:t>
        <w:br/>
        <w:br/>
        <w:t>CREATE TABLE btm_bill_reconciliation (</w:t>
        <w:br/>
        <w:t xml:space="preserve">    id INTEGER PRIMARY KEY,</w:t>
        <w:br/>
        <w:t xml:space="preserve">    case_id TEXT,</w:t>
        <w:br/>
        <w:t xml:space="preserve">    billing_month TEXT,</w:t>
        <w:br/>
        <w:t xml:space="preserve">    actual_bill_mxn REAL,</w:t>
        <w:br/>
        <w:t xml:space="preserve">    reconstructed_bill_mxn REAL,</w:t>
        <w:br/>
        <w:t xml:space="preserve">    error_mxn REAL,</w:t>
        <w:br/>
        <w:t xml:space="preserve">    error_pct REAL,</w:t>
        <w:br/>
        <w:t xml:space="preserve">    actual_kwh REAL,</w:t>
        <w:br/>
        <w:t xml:space="preserve">    reconstructed_kwh REAL,</w:t>
        <w:br/>
        <w:t xml:space="preserve">    actual_demand_kw REAL,</w:t>
        <w:br/>
        <w:t xml:space="preserve">    reconstructed_demand_kw REAL,</w:t>
        <w:br/>
        <w:t xml:space="preserve">    pass_flag INTEGER</w:t>
        <w:br/>
        <w:t>);</w:t>
        <w:br/>
        <w:br/>
        <w:t>CREATE TABLE btm_dispatch_engine_runs (</w:t>
        <w:br/>
        <w:t xml:space="preserve">    id INTEGER PRIMARY KEY,</w:t>
        <w:br/>
        <w:t xml:space="preserve">    case_id TEXT,</w:t>
        <w:br/>
        <w:t xml:space="preserve">    engine TEXT, -- rule_based, lp</w:t>
        <w:br/>
        <w:t xml:space="preserve">    solver TEXT,</w:t>
        <w:br/>
        <w:t xml:space="preserve">    solver_status TEXT,</w:t>
        <w:br/>
        <w:t xml:space="preserve">    objective_value_mxn REAL,</w:t>
        <w:br/>
        <w:t xml:space="preserve">    annual_savings_mxn REAL,</w:t>
        <w:br/>
        <w:t xml:space="preserve">    bankable_savings_mxn REAL,</w:t>
        <w:br/>
        <w:t xml:space="preserve">    created_at TIMESTAMP</w:t>
        <w:br/>
        <w:t>);</w:t>
      </w:r>
    </w:p>
    <w:p>
      <w:pPr>
        <w:pStyle w:val="Heading1"/>
      </w:pPr>
      <w:r>
        <w:t>9. Report Changes</w:t>
      </w:r>
    </w:p>
    <w:tbl>
      <w:tblPr>
        <w:tblStyle w:val="TableGrid"/>
        <w:tblW w:type="auto" w:w="0"/>
        <w:jc w:val="center"/>
        <w:tblLook w:firstColumn="1" w:firstRow="1" w:lastColumn="0" w:lastRow="0" w:noHBand="0" w:noVBand="1" w:val="04A0"/>
      </w:tblPr>
      <w:tblGrid>
        <w:gridCol w:w="5184"/>
        <w:gridCol w:w="5184"/>
      </w:tblGrid>
      <w:tr>
        <w:tc>
          <w:tcPr>
            <w:tcW w:type="dxa" w:w="3312"/>
            <w:vAlign w:val="top"/>
            <w:shd w:fill="D9EAF7"/>
          </w:tcPr>
          <w:p>
            <w:r>
              <w:rPr>
                <w:sz w:val="18"/>
              </w:rPr>
            </w:r>
            <w:r>
              <w:rPr>
                <w:b/>
                <w:sz w:val="18"/>
              </w:rPr>
              <w:t>Report</w:t>
            </w:r>
          </w:p>
        </w:tc>
        <w:tc>
          <w:tcPr>
            <w:tcW w:type="dxa" w:w="7344"/>
            <w:vAlign w:val="top"/>
            <w:shd w:fill="D9EAF7"/>
          </w:tcPr>
          <w:p>
            <w:r>
              <w:rPr>
                <w:sz w:val="18"/>
              </w:rPr>
            </w:r>
            <w:r>
              <w:rPr>
                <w:b/>
                <w:sz w:val="18"/>
              </w:rPr>
              <w:t>Required changes</w:t>
            </w:r>
          </w:p>
        </w:tc>
      </w:tr>
      <w:tr>
        <w:tc>
          <w:tcPr>
            <w:tcW w:type="dxa" w:w="3312"/>
            <w:vAlign w:val="top"/>
          </w:tcPr>
          <w:p>
            <w:r>
              <w:rPr>
                <w:sz w:val="18"/>
              </w:rPr>
            </w:r>
            <w:r>
              <w:rPr>
                <w:b w:val="0"/>
                <w:sz w:val="18"/>
              </w:rPr>
              <w:t>Customer proposal PDF</w:t>
            </w:r>
          </w:p>
        </w:tc>
        <w:tc>
          <w:tcPr>
            <w:tcW w:type="dxa" w:w="7344"/>
            <w:vAlign w:val="top"/>
          </w:tcPr>
          <w:p>
            <w:r>
              <w:rPr>
                <w:sz w:val="18"/>
              </w:rPr>
            </w:r>
            <w:r>
              <w:rPr>
                <w:b w:val="0"/>
                <w:sz w:val="18"/>
              </w:rPr>
              <w:t>Show monthly bill before/after, lease/payment, net monthly benefit and status. If not investment-ready, add SCREENING ONLY watermark.</w:t>
            </w:r>
          </w:p>
        </w:tc>
      </w:tr>
      <w:tr>
        <w:tc>
          <w:tcPr>
            <w:tcW w:type="dxa" w:w="3312"/>
            <w:vAlign w:val="top"/>
          </w:tcPr>
          <w:p>
            <w:r>
              <w:rPr>
                <w:sz w:val="18"/>
              </w:rPr>
            </w:r>
            <w:r>
              <w:rPr>
                <w:b w:val="0"/>
                <w:sz w:val="18"/>
              </w:rPr>
              <w:t>Investor evidence package</w:t>
            </w:r>
          </w:p>
        </w:tc>
        <w:tc>
          <w:tcPr>
            <w:tcW w:type="dxa" w:w="7344"/>
            <w:vAlign w:val="top"/>
          </w:tcPr>
          <w:p>
            <w:r>
              <w:rPr>
                <w:sz w:val="18"/>
              </w:rPr>
            </w:r>
            <w:r>
              <w:rPr>
                <w:b w:val="0"/>
                <w:sz w:val="18"/>
              </w:rPr>
              <w:t>Include bill reconciliation, load data quality, dispatch engine, LP solver status, bankable savings haircuts and red flags.</w:t>
            </w:r>
          </w:p>
        </w:tc>
      </w:tr>
      <w:tr>
        <w:tc>
          <w:tcPr>
            <w:tcW w:type="dxa" w:w="3312"/>
            <w:vAlign w:val="top"/>
          </w:tcPr>
          <w:p>
            <w:r>
              <w:rPr>
                <w:sz w:val="18"/>
              </w:rPr>
            </w:r>
            <w:r>
              <w:rPr>
                <w:b w:val="0"/>
                <w:sz w:val="18"/>
              </w:rPr>
              <w:t>Technical dispatch appendix</w:t>
            </w:r>
          </w:p>
        </w:tc>
        <w:tc>
          <w:tcPr>
            <w:tcW w:type="dxa" w:w="7344"/>
            <w:vAlign w:val="top"/>
          </w:tcPr>
          <w:p>
            <w:r>
              <w:rPr>
                <w:sz w:val="18"/>
              </w:rPr>
            </w:r>
            <w:r>
              <w:rPr>
                <w:b w:val="0"/>
                <w:sz w:val="18"/>
              </w:rPr>
              <w:t>Include 15-min SOC, grid import, PV, curtailment, demand peak timestamps and no-export compliance.</w:t>
            </w:r>
          </w:p>
        </w:tc>
      </w:tr>
      <w:tr>
        <w:tc>
          <w:tcPr>
            <w:tcW w:type="dxa" w:w="3312"/>
            <w:vAlign w:val="top"/>
          </w:tcPr>
          <w:p>
            <w:r>
              <w:rPr>
                <w:sz w:val="18"/>
              </w:rPr>
            </w:r>
            <w:r>
              <w:rPr>
                <w:b w:val="0"/>
                <w:sz w:val="18"/>
              </w:rPr>
              <w:t>QA report</w:t>
            </w:r>
          </w:p>
        </w:tc>
        <w:tc>
          <w:tcPr>
            <w:tcW w:type="dxa" w:w="7344"/>
            <w:vAlign w:val="top"/>
          </w:tcPr>
          <w:p>
            <w:r>
              <w:rPr>
                <w:sz w:val="18"/>
              </w:rPr>
            </w:r>
            <w:r>
              <w:rPr>
                <w:b w:val="0"/>
                <w:sz w:val="18"/>
              </w:rPr>
              <w:t>Include missing intervals, duplicate timestamps, tariff calendar coverage and CFE invoice reconstruction error.</w:t>
            </w:r>
          </w:p>
        </w:tc>
      </w:tr>
    </w:tbl>
    <w:p>
      <w:pPr>
        <w:pStyle w:val="Heading1"/>
      </w:pPr>
      <w:r>
        <w:t>10. Test Plan</w:t>
      </w:r>
    </w:p>
    <w:tbl>
      <w:tblPr>
        <w:tblStyle w:val="TableGrid"/>
        <w:tblW w:type="auto" w:w="0"/>
        <w:jc w:val="center"/>
        <w:tblLook w:firstColumn="1" w:firstRow="1" w:lastColumn="0" w:lastRow="0" w:noHBand="0" w:noVBand="1" w:val="04A0"/>
      </w:tblPr>
      <w:tblGrid>
        <w:gridCol w:w="5184"/>
        <w:gridCol w:w="5184"/>
      </w:tblGrid>
      <w:tr>
        <w:tc>
          <w:tcPr>
            <w:tcW w:type="dxa" w:w="3888"/>
            <w:vAlign w:val="top"/>
            <w:shd w:fill="D9EAF7"/>
          </w:tcPr>
          <w:p>
            <w:r>
              <w:rPr>
                <w:sz w:val="18"/>
              </w:rPr>
            </w:r>
            <w:r>
              <w:rPr>
                <w:b/>
                <w:sz w:val="18"/>
              </w:rPr>
              <w:t>Test file</w:t>
            </w:r>
          </w:p>
        </w:tc>
        <w:tc>
          <w:tcPr>
            <w:tcW w:type="dxa" w:w="6768"/>
            <w:vAlign w:val="top"/>
            <w:shd w:fill="D9EAF7"/>
          </w:tcPr>
          <w:p>
            <w:r>
              <w:rPr>
                <w:sz w:val="18"/>
              </w:rPr>
            </w:r>
            <w:r>
              <w:rPr>
                <w:b/>
                <w:sz w:val="18"/>
              </w:rPr>
              <w:t>Required tests</w:t>
            </w:r>
          </w:p>
        </w:tc>
      </w:tr>
      <w:tr>
        <w:tc>
          <w:tcPr>
            <w:tcW w:type="dxa" w:w="3888"/>
            <w:vAlign w:val="top"/>
          </w:tcPr>
          <w:p>
            <w:r>
              <w:rPr>
                <w:sz w:val="18"/>
              </w:rPr>
            </w:r>
            <w:r>
              <w:rPr>
                <w:b w:val="0"/>
                <w:sz w:val="18"/>
              </w:rPr>
              <w:t>tests/test_btm_revenue_guard.py</w:t>
            </w:r>
          </w:p>
        </w:tc>
        <w:tc>
          <w:tcPr>
            <w:tcW w:type="dxa" w:w="6768"/>
            <w:vAlign w:val="top"/>
          </w:tcPr>
          <w:p>
            <w:r>
              <w:rPr>
                <w:sz w:val="18"/>
              </w:rPr>
            </w:r>
            <w:r>
              <w:rPr>
                <w:b w:val="0"/>
                <w:sz w:val="18"/>
              </w:rPr>
              <w:t>BTM_CFE disables merchant/PPA/capacity revenue streams.</w:t>
            </w:r>
          </w:p>
        </w:tc>
      </w:tr>
      <w:tr>
        <w:tc>
          <w:tcPr>
            <w:tcW w:type="dxa" w:w="3888"/>
            <w:vAlign w:val="top"/>
          </w:tcPr>
          <w:p>
            <w:r>
              <w:rPr>
                <w:sz w:val="18"/>
              </w:rPr>
            </w:r>
            <w:r>
              <w:rPr>
                <w:b w:val="0"/>
                <w:sz w:val="18"/>
              </w:rPr>
              <w:t>tests/test_btm_readiness_gate.py</w:t>
            </w:r>
          </w:p>
        </w:tc>
        <w:tc>
          <w:tcPr>
            <w:tcW w:type="dxa" w:w="6768"/>
            <w:vAlign w:val="top"/>
          </w:tcPr>
          <w:p>
            <w:r>
              <w:rPr>
                <w:sz w:val="18"/>
              </w:rPr>
            </w:r>
            <w:r>
              <w:rPr>
                <w:b w:val="0"/>
                <w:sz w:val="18"/>
              </w:rPr>
              <w:t>DEMO, SCREENING, REVISE and INVESTMENT_READY statuses are triggered correctly.</w:t>
            </w:r>
          </w:p>
        </w:tc>
      </w:tr>
      <w:tr>
        <w:tc>
          <w:tcPr>
            <w:tcW w:type="dxa" w:w="3888"/>
            <w:vAlign w:val="top"/>
          </w:tcPr>
          <w:p>
            <w:r>
              <w:rPr>
                <w:sz w:val="18"/>
              </w:rPr>
            </w:r>
            <w:r>
              <w:rPr>
                <w:b w:val="0"/>
                <w:sz w:val="18"/>
              </w:rPr>
              <w:t>tests/test_btm_bill_reconciliation.py</w:t>
            </w:r>
          </w:p>
        </w:tc>
        <w:tc>
          <w:tcPr>
            <w:tcW w:type="dxa" w:w="6768"/>
            <w:vAlign w:val="top"/>
          </w:tcPr>
          <w:p>
            <w:r>
              <w:rPr>
                <w:sz w:val="18"/>
              </w:rPr>
            </w:r>
            <w:r>
              <w:rPr>
                <w:b w:val="0"/>
                <w:sz w:val="18"/>
              </w:rPr>
              <w:t>Reconstruction error thresholds and monthly failures are handled correctly.</w:t>
            </w:r>
          </w:p>
        </w:tc>
      </w:tr>
      <w:tr>
        <w:tc>
          <w:tcPr>
            <w:tcW w:type="dxa" w:w="3888"/>
            <w:vAlign w:val="top"/>
          </w:tcPr>
          <w:p>
            <w:r>
              <w:rPr>
                <w:sz w:val="18"/>
              </w:rPr>
            </w:r>
            <w:r>
              <w:rPr>
                <w:b w:val="0"/>
                <w:sz w:val="18"/>
              </w:rPr>
              <w:t>tests/test_btm_lp_optimizer.py</w:t>
            </w:r>
          </w:p>
        </w:tc>
        <w:tc>
          <w:tcPr>
            <w:tcW w:type="dxa" w:w="6768"/>
            <w:vAlign w:val="top"/>
          </w:tcPr>
          <w:p>
            <w:r>
              <w:rPr>
                <w:sz w:val="18"/>
              </w:rPr>
            </w:r>
            <w:r>
              <w:rPr>
                <w:b w:val="0"/>
                <w:sz w:val="18"/>
              </w:rPr>
              <w:t>LP feasibility, SOC limits, no-export, grid import and dispatch outputs.</w:t>
            </w:r>
          </w:p>
        </w:tc>
      </w:tr>
      <w:tr>
        <w:tc>
          <w:tcPr>
            <w:tcW w:type="dxa" w:w="3888"/>
            <w:vAlign w:val="top"/>
          </w:tcPr>
          <w:p>
            <w:r>
              <w:rPr>
                <w:sz w:val="18"/>
              </w:rPr>
            </w:r>
            <w:r>
              <w:rPr>
                <w:b w:val="0"/>
                <w:sz w:val="18"/>
              </w:rPr>
              <w:t>tests/test_btm_investor_outputs.py</w:t>
            </w:r>
          </w:p>
        </w:tc>
        <w:tc>
          <w:tcPr>
            <w:tcW w:type="dxa" w:w="6768"/>
            <w:vAlign w:val="top"/>
          </w:tcPr>
          <w:p>
            <w:r>
              <w:rPr>
                <w:sz w:val="18"/>
              </w:rPr>
            </w:r>
            <w:r>
              <w:rPr>
                <w:b w:val="0"/>
                <w:sz w:val="18"/>
              </w:rPr>
              <w:t>GO/REVISE/NO-GO cannot run unless case is INVESTMENT_READY.</w:t>
            </w:r>
          </w:p>
        </w:tc>
      </w:tr>
      <w:tr>
        <w:tc>
          <w:tcPr>
            <w:tcW w:type="dxa" w:w="3888"/>
            <w:vAlign w:val="top"/>
          </w:tcPr>
          <w:p>
            <w:r>
              <w:rPr>
                <w:sz w:val="18"/>
              </w:rPr>
            </w:r>
            <w:r>
              <w:rPr>
                <w:b w:val="0"/>
                <w:sz w:val="18"/>
              </w:rPr>
              <w:t>tests/test_btm_report_watermark.py</w:t>
            </w:r>
          </w:p>
        </w:tc>
        <w:tc>
          <w:tcPr>
            <w:tcW w:type="dxa" w:w="6768"/>
            <w:vAlign w:val="top"/>
          </w:tcPr>
          <w:p>
            <w:r>
              <w:rPr>
                <w:sz w:val="18"/>
              </w:rPr>
            </w:r>
            <w:r>
              <w:rPr>
                <w:b w:val="0"/>
                <w:sz w:val="18"/>
              </w:rPr>
              <w:t>Screening/demo reports are clearly labeled and not mistaken for bankable reports.</w:t>
            </w:r>
          </w:p>
        </w:tc>
      </w:tr>
    </w:tbl>
    <w:p>
      <w:pPr>
        <w:pStyle w:val="Heading1"/>
      </w:pPr>
      <w:r>
        <w:t>11. Implementation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D9EAF7"/>
          </w:tcPr>
          <w:p>
            <w:r>
              <w:rPr>
                <w:sz w:val="18"/>
              </w:rPr>
            </w:r>
            <w:r>
              <w:rPr>
                <w:b/>
                <w:sz w:val="18"/>
              </w:rPr>
              <w:t>Sprint</w:t>
            </w:r>
          </w:p>
        </w:tc>
        <w:tc>
          <w:tcPr>
            <w:tcW w:type="dxa" w:w="4608"/>
            <w:vAlign w:val="top"/>
            <w:shd w:fill="D9EAF7"/>
          </w:tcPr>
          <w:p>
            <w:r>
              <w:rPr>
                <w:sz w:val="18"/>
              </w:rPr>
            </w:r>
            <w:r>
              <w:rPr>
                <w:b/>
                <w:sz w:val="18"/>
              </w:rPr>
              <w:t>Scope</w:t>
            </w:r>
          </w:p>
        </w:tc>
        <w:tc>
          <w:tcPr>
            <w:tcW w:type="dxa" w:w="4320"/>
            <w:vAlign w:val="top"/>
            <w:shd w:fill="D9EAF7"/>
          </w:tcPr>
          <w:p>
            <w:r>
              <w:rPr>
                <w:sz w:val="18"/>
              </w:rPr>
            </w:r>
            <w:r>
              <w:rPr>
                <w:b/>
                <w:sz w:val="18"/>
              </w:rPr>
              <w:t>Deliverable</w:t>
            </w:r>
          </w:p>
        </w:tc>
      </w:tr>
      <w:tr>
        <w:tc>
          <w:tcPr>
            <w:tcW w:type="dxa" w:w="1728"/>
            <w:vAlign w:val="top"/>
          </w:tcPr>
          <w:p>
            <w:r>
              <w:rPr>
                <w:sz w:val="18"/>
              </w:rPr>
            </w:r>
            <w:r>
              <w:rPr>
                <w:b w:val="0"/>
                <w:sz w:val="18"/>
              </w:rPr>
              <w:t>Sprint 1</w:t>
            </w:r>
          </w:p>
        </w:tc>
        <w:tc>
          <w:tcPr>
            <w:tcW w:type="dxa" w:w="4608"/>
            <w:vAlign w:val="top"/>
          </w:tcPr>
          <w:p>
            <w:r>
              <w:rPr>
                <w:sz w:val="18"/>
              </w:rPr>
            </w:r>
            <w:r>
              <w:rPr>
                <w:b w:val="0"/>
                <w:sz w:val="18"/>
              </w:rPr>
              <w:t>Revenue guard and BTM sub-navigation.</w:t>
            </w:r>
          </w:p>
        </w:tc>
        <w:tc>
          <w:tcPr>
            <w:tcW w:type="dxa" w:w="4320"/>
            <w:vAlign w:val="top"/>
          </w:tcPr>
          <w:p>
            <w:r>
              <w:rPr>
                <w:sz w:val="18"/>
              </w:rPr>
            </w:r>
            <w:r>
              <w:rPr>
                <w:b w:val="0"/>
                <w:sz w:val="18"/>
              </w:rPr>
              <w:t>BTM-only workflow and disabled merchant controls.</w:t>
            </w:r>
          </w:p>
        </w:tc>
      </w:tr>
      <w:tr>
        <w:tc>
          <w:tcPr>
            <w:tcW w:type="dxa" w:w="1728"/>
            <w:vAlign w:val="top"/>
          </w:tcPr>
          <w:p>
            <w:r>
              <w:rPr>
                <w:sz w:val="18"/>
              </w:rPr>
            </w:r>
            <w:r>
              <w:rPr>
                <w:b w:val="0"/>
                <w:sz w:val="18"/>
              </w:rPr>
              <w:t>Sprint 2</w:t>
            </w:r>
          </w:p>
        </w:tc>
        <w:tc>
          <w:tcPr>
            <w:tcW w:type="dxa" w:w="4608"/>
            <w:vAlign w:val="top"/>
          </w:tcPr>
          <w:p>
            <w:r>
              <w:rPr>
                <w:sz w:val="18"/>
              </w:rPr>
            </w:r>
            <w:r>
              <w:rPr>
                <w:b w:val="0"/>
                <w:sz w:val="18"/>
              </w:rPr>
              <w:t>Investment readiness gate and bill reconciliation dashboard.</w:t>
            </w:r>
          </w:p>
        </w:tc>
        <w:tc>
          <w:tcPr>
            <w:tcW w:type="dxa" w:w="4320"/>
            <w:vAlign w:val="top"/>
          </w:tcPr>
          <w:p>
            <w:r>
              <w:rPr>
                <w:sz w:val="18"/>
              </w:rPr>
            </w:r>
            <w:r>
              <w:rPr>
                <w:b w:val="0"/>
                <w:sz w:val="18"/>
              </w:rPr>
              <w:t>Case status badge and report gating.</w:t>
            </w:r>
          </w:p>
        </w:tc>
      </w:tr>
      <w:tr>
        <w:tc>
          <w:tcPr>
            <w:tcW w:type="dxa" w:w="1728"/>
            <w:vAlign w:val="top"/>
          </w:tcPr>
          <w:p>
            <w:r>
              <w:rPr>
                <w:sz w:val="18"/>
              </w:rPr>
            </w:r>
            <w:r>
              <w:rPr>
                <w:b w:val="0"/>
                <w:sz w:val="18"/>
              </w:rPr>
              <w:t>Sprint 3</w:t>
            </w:r>
          </w:p>
        </w:tc>
        <w:tc>
          <w:tcPr>
            <w:tcW w:type="dxa" w:w="4608"/>
            <w:vAlign w:val="top"/>
          </w:tcPr>
          <w:p>
            <w:r>
              <w:rPr>
                <w:sz w:val="18"/>
              </w:rPr>
            </w:r>
            <w:r>
              <w:rPr>
                <w:b w:val="0"/>
                <w:sz w:val="18"/>
              </w:rPr>
              <w:t>BTM LP optimizer MVP with post-optimization CFE bill calculation.</w:t>
            </w:r>
          </w:p>
        </w:tc>
        <w:tc>
          <w:tcPr>
            <w:tcW w:type="dxa" w:w="4320"/>
            <w:vAlign w:val="top"/>
          </w:tcPr>
          <w:p>
            <w:r>
              <w:rPr>
                <w:sz w:val="18"/>
              </w:rPr>
            </w:r>
            <w:r>
              <w:rPr>
                <w:b w:val="0"/>
                <w:sz w:val="18"/>
              </w:rPr>
              <w:t>LP engine selectable and default for Bankable Investor Case.</w:t>
            </w:r>
          </w:p>
        </w:tc>
      </w:tr>
      <w:tr>
        <w:tc>
          <w:tcPr>
            <w:tcW w:type="dxa" w:w="1728"/>
            <w:vAlign w:val="top"/>
          </w:tcPr>
          <w:p>
            <w:r>
              <w:rPr>
                <w:sz w:val="18"/>
              </w:rPr>
            </w:r>
            <w:r>
              <w:rPr>
                <w:b w:val="0"/>
                <w:sz w:val="18"/>
              </w:rPr>
              <w:t>Sprint 4</w:t>
            </w:r>
          </w:p>
        </w:tc>
        <w:tc>
          <w:tcPr>
            <w:tcW w:type="dxa" w:w="4608"/>
            <w:vAlign w:val="top"/>
          </w:tcPr>
          <w:p>
            <w:r>
              <w:rPr>
                <w:sz w:val="18"/>
              </w:rPr>
            </w:r>
            <w:r>
              <w:rPr>
                <w:b w:val="0"/>
                <w:sz w:val="18"/>
              </w:rPr>
              <w:t>Investor report updates and evidence package.</w:t>
            </w:r>
          </w:p>
        </w:tc>
        <w:tc>
          <w:tcPr>
            <w:tcW w:type="dxa" w:w="4320"/>
            <w:vAlign w:val="top"/>
          </w:tcPr>
          <w:p>
            <w:r>
              <w:rPr>
                <w:sz w:val="18"/>
              </w:rPr>
            </w:r>
            <w:r>
              <w:rPr>
                <w:b w:val="0"/>
                <w:sz w:val="18"/>
              </w:rPr>
              <w:t>Customer proposal, investor package and QA report.</w:t>
            </w:r>
          </w:p>
        </w:tc>
      </w:tr>
      <w:tr>
        <w:tc>
          <w:tcPr>
            <w:tcW w:type="dxa" w:w="1728"/>
            <w:vAlign w:val="top"/>
          </w:tcPr>
          <w:p>
            <w:r>
              <w:rPr>
                <w:sz w:val="18"/>
              </w:rPr>
            </w:r>
            <w:r>
              <w:rPr>
                <w:b w:val="0"/>
                <w:sz w:val="18"/>
              </w:rPr>
              <w:t>Sprint 5</w:t>
            </w:r>
          </w:p>
        </w:tc>
        <w:tc>
          <w:tcPr>
            <w:tcW w:type="dxa" w:w="4608"/>
            <w:vAlign w:val="top"/>
          </w:tcPr>
          <w:p>
            <w:r>
              <w:rPr>
                <w:sz w:val="18"/>
              </w:rPr>
            </w:r>
            <w:r>
              <w:rPr>
                <w:b w:val="0"/>
                <w:sz w:val="18"/>
              </w:rPr>
              <w:t>Testing and hardening.</w:t>
            </w:r>
          </w:p>
        </w:tc>
        <w:tc>
          <w:tcPr>
            <w:tcW w:type="dxa" w:w="4320"/>
            <w:vAlign w:val="top"/>
          </w:tcPr>
          <w:p>
            <w:r>
              <w:rPr>
                <w:sz w:val="18"/>
              </w:rPr>
            </w:r>
            <w:r>
              <w:rPr>
                <w:b w:val="0"/>
                <w:sz w:val="18"/>
              </w:rPr>
              <w:t>Full pytest coverage, demo/screening watermarks, fallback behavior.</w:t>
            </w:r>
          </w:p>
        </w:tc>
      </w:tr>
    </w:tbl>
    <w:p>
      <w:pPr>
        <w:pStyle w:val="Heading1"/>
      </w:pPr>
      <w:r>
        <w:t>12. Developer Definition of Done</w:t>
      </w:r>
    </w:p>
    <w:p>
      <w:pPr>
        <w:pStyle w:val="ListBullet"/>
      </w:pPr>
      <w:r>
        <w:t>BTM_CFE mode cannot include merchant/PPA/CENACE capacity revenues.</w:t>
      </w:r>
    </w:p>
    <w:p>
      <w:pPr>
        <w:pStyle w:val="ListBullet"/>
      </w:pPr>
      <w:r>
        <w:t>Every BTM case has a visible data status: DEMO, SCREENING, REVISE or INVESTMENT READY.</w:t>
      </w:r>
    </w:p>
    <w:p>
      <w:pPr>
        <w:pStyle w:val="ListBullet"/>
      </w:pPr>
      <w:r>
        <w:t>GO/REVISE/NO-GO recommendations are blocked unless status is INVESTMENT READY.</w:t>
      </w:r>
    </w:p>
    <w:p>
      <w:pPr>
        <w:pStyle w:val="ListBullet"/>
      </w:pPr>
      <w:r>
        <w:t>Baseline CFE bill reconciliation is shown and must pass &lt;= 3% error threshold for investment-ready cases.</w:t>
      </w:r>
    </w:p>
    <w:p>
      <w:pPr>
        <w:pStyle w:val="ListBullet"/>
      </w:pPr>
      <w:r>
        <w:t>LP optimizer runs with clear solver status and falls back safely if infeasible.</w:t>
      </w:r>
    </w:p>
    <w:p>
      <w:pPr>
        <w:pStyle w:val="ListBullet"/>
      </w:pPr>
      <w:r>
        <w:t>Reports clearly state dispatch engine, data readiness status, source assumptions and limitations.</w:t>
      </w:r>
    </w:p>
    <w:p>
      <w:pPr>
        <w:pStyle w:val="ListBullet"/>
      </w:pPr>
      <w:r>
        <w:t>All new modules have unit tests and integration tests with synthetic and real-like samples.</w:t>
      </w:r>
    </w:p>
    <w:p>
      <w:pPr>
        <w:pStyle w:val="Heading1"/>
      </w:pPr>
      <w:r>
        <w:t>Appendix A - Configuration Keys</w:t>
      </w:r>
    </w:p>
    <w:p>
      <w:pPr>
        <w:pStyle w:val="CodeBlock"/>
      </w:pPr>
      <w:r>
        <w:rPr>
          <w:rFonts w:ascii="Consolas" w:hAnsi="Consolas"/>
          <w:sz w:val="16"/>
        </w:rPr>
        <w:t>btm:</w:t>
        <w:br/>
        <w:t xml:space="preserve">  project_mode: BTM_CFE</w:t>
        <w:br/>
        <w:t xml:space="preserve">  status_required_for_investor_recommendation: INVESTMENT_READY</w:t>
        <w:br/>
        <w:t xml:space="preserve">  max_bill_reconstruction_error_pct: 3.0</w:t>
        <w:br/>
        <w:t xml:space="preserve">  max_missing_interval_pct: 1.0</w:t>
        <w:br/>
        <w:t xml:space="preserve">  min_bill_months: 12</w:t>
        <w:br/>
        <w:t xml:space="preserve">  min_load_months: 12</w:t>
        <w:br/>
        <w:t xml:space="preserve">  default_dispatch_engine_screening: rule_based</w:t>
        <w:br/>
        <w:t xml:space="preserve">  default_dispatch_engine_investor: lp</w:t>
        <w:br/>
        <w:t xml:space="preserve">  no_export_default: true</w:t>
        <w:br/>
        <w:t xml:space="preserve">  disable_non_btm_revenue_streams: true</w:t>
        <w:br/>
        <w:t xml:space="preserve">  screening_report_watermark: true</w:t>
        <w:br/>
        <w:br/>
        <w:t>lp_optimizer:</w:t>
        <w:br/>
        <w:t xml:space="preserve">  solver: highs</w:t>
        <w:br/>
        <w:t xml:space="preserve">  fallback_to_rule_based: true</w:t>
        <w:br/>
        <w:t xml:space="preserve">  max_runtime_seconds: 180</w:t>
        <w:br/>
        <w:t xml:space="preserve">  enforce_soc_limits: true</w:t>
        <w:br/>
        <w:t xml:space="preserve">  enforce_no_export: true</w:t>
        <w:br/>
        <w:t xml:space="preserve">  allow_grid_charging_default: false</w:t>
        <w:br/>
        <w:t xml:space="preserve">  degradation_cost_required_for_investor_case: true</w:t>
      </w:r>
    </w:p>
    <w:p>
      <w:pPr>
        <w:pStyle w:val="Heading1"/>
      </w:pPr>
      <w:r>
        <w:t>Appendix B - CLI Examples</w:t>
      </w:r>
    </w:p>
    <w:p>
      <w:pPr>
        <w:pStyle w:val="CodeBlock"/>
      </w:pPr>
      <w:r>
        <w:rPr>
          <w:rFonts w:ascii="Consolas" w:hAnsi="Consolas"/>
          <w:sz w:val="16"/>
        </w:rPr>
        <w:t># Run readiness gate only</w:t>
        <w:br/>
        <w:t>python scripts/run_btm_readiness.py --case-id CUSTOMER_001 --out outputs/btm/readiness_report.json</w:t>
        <w:br/>
        <w:br/>
        <w:t># Run BTM LP optimization after investment readiness passes</w:t>
        <w:br/>
        <w:t>python scripts/run_btm_lp.py   --load data/customer/load_15min.csv   --pv data/customer/pv_15min.csv   --tariff GDMTH   --division "Valle de Mexico Sur"   --bess-kw 500   --bess-kwh 1000   --no-export   --out outputs/btm/CUSTOMER_001</w:t>
        <w:br/>
        <w:br/>
        <w:t># Generate investor evidence package</w:t>
        <w:br/>
        <w:t>python scripts/make_btm_investor_package.py --case-id CUSTOMER_001 --out outputs/btm/CUSTOMER_001</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Optimus_Mexico_Behind_TheMeter - Developer-ready investor fixes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Optimus Mexico Behind-the-Meter Investor Fixes - Developer Ready</dc:title>
  <dc:subject>Developer-ready flow and implementation plan for BTM investment-grade fixes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