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91E" w:rsidRPr="007E3651" w:rsidRDefault="00E2433E">
      <w:pPr>
        <w:pStyle w:val="Padro"/>
        <w:spacing w:after="0" w:line="115" w:lineRule="atLeast"/>
        <w:jc w:val="center"/>
        <w:rPr>
          <w:color w:val="auto"/>
        </w:rPr>
      </w:pPr>
      <w:bookmarkStart w:id="0" w:name="_GoBack"/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20"/>
          <w:szCs w:val="20"/>
        </w:rPr>
        <w:t>CONSELHO CONSULTIVO DA APA COSTA DOS CORAIS – CONAPAC</w:t>
      </w:r>
    </w:p>
    <w:p w:rsidR="00DE591E" w:rsidRPr="007E3651" w:rsidRDefault="00E2433E">
      <w:pPr>
        <w:pStyle w:val="Padro"/>
        <w:spacing w:after="0" w:line="115" w:lineRule="atLeast"/>
        <w:jc w:val="center"/>
        <w:rPr>
          <w:color w:val="auto"/>
        </w:rPr>
      </w:pPr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16"/>
          <w:szCs w:val="16"/>
        </w:rPr>
        <w:t xml:space="preserve">Rua Samuel </w:t>
      </w:r>
      <w:proofErr w:type="spellStart"/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16"/>
          <w:szCs w:val="16"/>
        </w:rPr>
        <w:t>Hardman</w:t>
      </w:r>
      <w:proofErr w:type="spellEnd"/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16"/>
          <w:szCs w:val="16"/>
        </w:rPr>
        <w:t xml:space="preserve">, </w:t>
      </w:r>
      <w:proofErr w:type="gramStart"/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16"/>
          <w:szCs w:val="16"/>
        </w:rPr>
        <w:t>S/N ,</w:t>
      </w:r>
      <w:proofErr w:type="gramEnd"/>
      <w:r w:rsidRPr="007E3651">
        <w:rPr>
          <w:rFonts w:ascii="Times New Roman" w:eastAsia="BookmanOldStyle-BoldItalic" w:hAnsi="Times New Roman" w:cs="BookmanOldStyle-BoldItalic"/>
          <w:b/>
          <w:bCs/>
          <w:i/>
          <w:iCs/>
          <w:color w:val="auto"/>
          <w:sz w:val="16"/>
          <w:szCs w:val="16"/>
        </w:rPr>
        <w:t xml:space="preserve"> Tamandaré-PE, CEP: 55578-000 Tel.: (81) 3676-1109 R.(234), Fax: (81) 3676-1310</w:t>
      </w:r>
    </w:p>
    <w:p w:rsidR="00DE591E" w:rsidRPr="007E3651" w:rsidRDefault="00DE591E">
      <w:pPr>
        <w:pStyle w:val="Padro"/>
        <w:spacing w:after="0"/>
        <w:jc w:val="center"/>
        <w:rPr>
          <w:color w:val="auto"/>
        </w:rPr>
      </w:pPr>
    </w:p>
    <w:p w:rsidR="00DE591E" w:rsidRPr="007E3651" w:rsidRDefault="00E2433E">
      <w:pPr>
        <w:pStyle w:val="Padro"/>
        <w:jc w:val="center"/>
        <w:rPr>
          <w:color w:val="auto"/>
        </w:rPr>
      </w:pP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MEMÓRIA DA 8ª REUNIÃO ORDINÁRIA DO CONSELHO CONSULTIVO DA ÁREA DE PROTEÇÃO AMBIENTAL COSTA DOS CORAIS - CONAPAC</w:t>
      </w:r>
    </w:p>
    <w:p w:rsidR="00DE591E" w:rsidRPr="007E3651" w:rsidRDefault="00E2433E">
      <w:pPr>
        <w:pStyle w:val="Padro"/>
        <w:rPr>
          <w:color w:val="auto"/>
        </w:rPr>
      </w:pPr>
      <w:r w:rsidRPr="007E36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LOCAL</w:t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: Japaratinga/AL</w:t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7E36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</w:t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: 28/08/2013</w:t>
      </w:r>
    </w:p>
    <w:p w:rsidR="00DE591E" w:rsidRPr="007E3651" w:rsidRDefault="00E2433E">
      <w:pPr>
        <w:pStyle w:val="Padro"/>
        <w:jc w:val="both"/>
        <w:rPr>
          <w:color w:val="auto"/>
        </w:rPr>
      </w:pPr>
      <w:r w:rsidRPr="007E36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CONSELHEIROS PRESENTES: </w:t>
      </w:r>
      <w:r w:rsidRPr="007E3651">
        <w:rPr>
          <w:rFonts w:ascii="Times New Roman" w:eastAsia="Times New Roman" w:hAnsi="Times New Roman" w:cs="Times New Roman"/>
          <w:color w:val="auto"/>
        </w:rPr>
        <w:t xml:space="preserve">Alberto Rodrigues (AHMAJA), Amaro José da Silva (Colônia Z-15 Maragogi), Andrea Olinto (SEMAS/PE),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Antonia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Alves (Pref. Mun.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Paripueira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Bernardete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Reckziegel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(SPU/AL), Bruno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Stefanis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(BIOTA), Danilo Marx (Náutica Ambiental),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Edjanete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Pereira (Pref. Mun. Maragogi),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Farid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Daher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(APCM),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Gandh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Gouveia (Pref. Mun. S. M. dos Milagres), Iran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Normande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(CMA/ICMBIO), João Cândido Nogueira (AEJATUR), José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Heriberto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Lima (CEPENE), José Maciel dos Santos (UNIMOP),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Juvenita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Albuquerque (FUNDAJ), Karine Magalhães (UFRPE),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Leivan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Souza (MPA/AL), Lucas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Araujo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(Pref. Mun. S. J. da Coroa Grande), Luiz Otávio Corrêa (IBAMA/PE), Manoel Pedrosa (IRCOS), Mauro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Maida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(UFPE), Paulo Amaro da Silva (Colônia Z-21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Paripueira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), Paulo Roberto Corrêa (APACC/ICMBIO), Pedro Luiz da Silva (Colônia Z-25 Porto de Pedras), Teófilo Albuquerque (ABEVILA), </w:t>
      </w:r>
      <w:proofErr w:type="spellStart"/>
      <w:r w:rsidRPr="007E3651">
        <w:rPr>
          <w:rFonts w:ascii="Times New Roman" w:eastAsia="Times New Roman" w:hAnsi="Times New Roman" w:cs="Times New Roman"/>
          <w:color w:val="auto"/>
        </w:rPr>
        <w:t>Tertuliana</w:t>
      </w:r>
      <w:proofErr w:type="spellEnd"/>
      <w:r w:rsidRPr="007E3651">
        <w:rPr>
          <w:rFonts w:ascii="Times New Roman" w:eastAsia="Times New Roman" w:hAnsi="Times New Roman" w:cs="Times New Roman"/>
          <w:color w:val="auto"/>
        </w:rPr>
        <w:t xml:space="preserve"> Flávia Rêgo (ATPB).</w:t>
      </w:r>
    </w:p>
    <w:p w:rsidR="00DE591E" w:rsidRPr="007E3651" w:rsidRDefault="00E2433E">
      <w:pPr>
        <w:pStyle w:val="Padro"/>
        <w:rPr>
          <w:color w:val="auto"/>
        </w:rPr>
      </w:pPr>
      <w:r w:rsidRPr="007E36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CONVIDADOS PRESENTES</w:t>
      </w: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: (lista em anexo)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77"/>
          <w:tab w:val="left" w:pos="1646"/>
          <w:tab w:val="left" w:pos="2115"/>
          <w:tab w:val="left" w:pos="2584"/>
          <w:tab w:val="left" w:pos="2814"/>
          <w:tab w:val="left" w:pos="3053"/>
          <w:tab w:val="left" w:pos="3249"/>
        </w:tabs>
        <w:spacing w:after="142"/>
        <w:ind w:left="469" w:hanging="458"/>
        <w:jc w:val="both"/>
        <w:rPr>
          <w:color w:val="auto"/>
        </w:rPr>
      </w:pPr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O chefe da APACC e Presidente deste Conselho, Paulo Roberto Corrêa, iniciou à reunião justificando que a plenária não estava sendo realizada em </w:t>
      </w:r>
      <w:proofErr w:type="spellStart"/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Paripueira</w:t>
      </w:r>
      <w:proofErr w:type="spellEnd"/>
      <w:r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como acordado na reunião anterior, porque os locais indicados ao ICMBIO nesse município não possuíam </w:t>
      </w:r>
      <w:r w:rsidRPr="007E3651">
        <w:rPr>
          <w:rFonts w:ascii="Times New Roman" w:hAnsi="Times New Roman"/>
          <w:color w:val="auto"/>
          <w:sz w:val="24"/>
          <w:szCs w:val="24"/>
        </w:rPr>
        <w:t>espaço apropriado para a realização de uma plenária do CONAPAC;</w:t>
      </w:r>
    </w:p>
    <w:p w:rsidR="00DE591E" w:rsidRPr="007E3651" w:rsidRDefault="00E2433E">
      <w:pPr>
        <w:pStyle w:val="Padro"/>
        <w:tabs>
          <w:tab w:val="left" w:pos="1189"/>
          <w:tab w:val="left" w:pos="1670"/>
          <w:tab w:val="left" w:pos="2151"/>
          <w:tab w:val="left" w:pos="2632"/>
          <w:tab w:val="left" w:pos="2886"/>
          <w:tab w:val="left" w:pos="3113"/>
          <w:tab w:val="left" w:pos="3333"/>
          <w:tab w:val="left" w:pos="3607"/>
        </w:tabs>
        <w:spacing w:after="142"/>
        <w:ind w:left="481" w:hanging="34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a) Bruno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Stefanis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disse que a proposta aprovada na 7º reunião do Conselho previa que esta plenária ocorresse no litoral sul da APACC e que, se o ICMBIO encontrou problemas de logística em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Paripueira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>, poderia ter optado por realizá-la em Maceió;</w:t>
      </w:r>
    </w:p>
    <w:p w:rsidR="00DE591E" w:rsidRPr="007E3651" w:rsidRDefault="00E2433E">
      <w:pPr>
        <w:pStyle w:val="Padro"/>
        <w:tabs>
          <w:tab w:val="left" w:pos="1223"/>
          <w:tab w:val="left" w:pos="1738"/>
          <w:tab w:val="left" w:pos="2253"/>
          <w:tab w:val="left" w:pos="2575"/>
          <w:tab w:val="left" w:pos="2768"/>
          <w:tab w:val="left" w:pos="3067"/>
          <w:tab w:val="left" w:pos="3283"/>
          <w:tab w:val="left" w:pos="3752"/>
        </w:tabs>
        <w:spacing w:after="142"/>
        <w:ind w:left="515" w:hanging="46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b) Paulo Roberto explicou que a escolha por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Paripueira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foi motivada pelo interesse de promover maior aproximação com uma importante área de visitação da APACC, adiantando que a próxima reunião do CONAPAC ocorrerá nesse município. O chefe da APACC também informou que, em alguns meses, a base de Barra de Santo Antônio estará em condições de receber reuniões do Conselho e enfatizou a necessidade de se firmar parcerias locais para viabilizar a realização de plenárias nos demais municípios ainda não contemplados.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hanging="469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Em seguida, Paulo Roberto deu início aos i</w:t>
      </w:r>
      <w:r w:rsidR="006C32B6" w:rsidRPr="007E3651">
        <w:rPr>
          <w:rFonts w:ascii="Times New Roman" w:hAnsi="Times New Roman"/>
          <w:color w:val="auto"/>
          <w:sz w:val="24"/>
          <w:szCs w:val="24"/>
        </w:rPr>
        <w:t>nformes da reunião, comunicando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o início do </w:t>
      </w:r>
      <w:r w:rsidRPr="007E3651">
        <w:rPr>
          <w:rFonts w:ascii="Times New Roman" w:hAnsi="Times New Roman"/>
          <w:i/>
          <w:iCs/>
          <w:color w:val="auto"/>
          <w:sz w:val="24"/>
          <w:szCs w:val="24"/>
        </w:rPr>
        <w:t>Programa de Capacitação de Monitores nas Galés de Maragogi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, que já preparou sete jovens do município para atuar como multiplicadores nas áreas de visitação. O Presidente do CONAPAC também anunciou a agenda de capacitações dos conselheiros nos polos da APACC, sobre os temas biodiversidade e legislação ambiental: Tamandaré (02/10 e 03/10); Porto de Pedras (09/10 e 10/10); e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Paripueira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(16/10 e 17/10);</w:t>
      </w:r>
    </w:p>
    <w:p w:rsidR="00DE591E" w:rsidRPr="007E3651" w:rsidRDefault="00E2433E">
      <w:pPr>
        <w:pStyle w:val="Padro"/>
        <w:tabs>
          <w:tab w:val="left" w:pos="1143"/>
          <w:tab w:val="left" w:pos="1578"/>
          <w:tab w:val="left" w:pos="2013"/>
          <w:tab w:val="left" w:pos="2448"/>
          <w:tab w:val="left" w:pos="2610"/>
          <w:tab w:val="left" w:pos="2883"/>
          <w:tab w:val="left" w:pos="3034"/>
        </w:tabs>
        <w:spacing w:after="142"/>
        <w:ind w:left="435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a) Ulisses Santos e Carolina Neves abordaram o projeto de educação ambiental </w:t>
      </w:r>
      <w:r w:rsidRPr="007E3651">
        <w:rPr>
          <w:rFonts w:ascii="Times New Roman" w:hAnsi="Times New Roman"/>
          <w:i/>
          <w:iCs/>
          <w:color w:val="auto"/>
          <w:sz w:val="24"/>
          <w:szCs w:val="24"/>
        </w:rPr>
        <w:t>Jovens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7E3651">
        <w:rPr>
          <w:rFonts w:ascii="Times New Roman" w:hAnsi="Times New Roman"/>
          <w:i/>
          <w:iCs/>
          <w:color w:val="auto"/>
          <w:sz w:val="24"/>
          <w:szCs w:val="24"/>
        </w:rPr>
        <w:t>Protagonistas da Costa dos Corais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, que já capacitou grupos de estudantes e lideranças dos municípios de Porto de Pedras e São Miguel de Milagres, alguns presentes à reunião do CONAPAC, para atuar no processo de gestão ambiental em suas localidades. E comunicaram à plenária que no dia 18 de setembro será realizado, em São Miguel dos </w:t>
      </w:r>
      <w:r w:rsidRPr="007E3651">
        <w:rPr>
          <w:rFonts w:ascii="Times New Roman" w:hAnsi="Times New Roman"/>
          <w:color w:val="auto"/>
          <w:sz w:val="24"/>
          <w:szCs w:val="24"/>
        </w:rPr>
        <w:lastRenderedPageBreak/>
        <w:t>Milagres, o primeiro encontro do fórum socioambiental criado para fortalecer a atuação dos jovens, que discutirá nesse primeiro momento a temática do saneamento básico;</w:t>
      </w:r>
    </w:p>
    <w:p w:rsidR="00DE591E" w:rsidRPr="007E3651" w:rsidRDefault="00E2433E">
      <w:pPr>
        <w:pStyle w:val="Padro"/>
        <w:tabs>
          <w:tab w:val="left" w:pos="1143"/>
          <w:tab w:val="left" w:pos="1578"/>
          <w:tab w:val="left" w:pos="2013"/>
          <w:tab w:val="left" w:pos="2448"/>
          <w:tab w:val="left" w:pos="2610"/>
          <w:tab w:val="left" w:pos="2883"/>
          <w:tab w:val="left" w:pos="3034"/>
        </w:tabs>
        <w:spacing w:after="142"/>
        <w:ind w:left="435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b) Em resposta ao pedido do conselheiro Alberto Rodrigues, para que estabelecimentos turísticos possam utilizar a logomarca da APACC em materiais promocionais, com o objetivo de divulgar a UC, Paulo Roberto orientou os interessados a encaminhar um projeto, expondo o interesse e a finalidade do uso;</w:t>
      </w:r>
    </w:p>
    <w:p w:rsidR="00DE591E" w:rsidRPr="007E3651" w:rsidRDefault="00E2433E">
      <w:pPr>
        <w:pStyle w:val="Padro"/>
        <w:numPr>
          <w:ilvl w:val="0"/>
          <w:numId w:val="4"/>
        </w:numPr>
        <w:tabs>
          <w:tab w:val="left" w:pos="1143"/>
          <w:tab w:val="left" w:pos="1578"/>
          <w:tab w:val="left" w:pos="2013"/>
          <w:tab w:val="left" w:pos="2448"/>
          <w:tab w:val="left" w:pos="2610"/>
          <w:tab w:val="left" w:pos="2883"/>
          <w:tab w:val="left" w:pos="3034"/>
        </w:tabs>
        <w:spacing w:after="142"/>
        <w:ind w:left="435" w:firstLine="0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Concluindo os informes da reunião, Karine Magalhães comunicou aos demais conselheiros iniciativa da UFRPE para mapeamento dos prados de fanerógamas existentes na região da APACC, solicitando a contribuição de todos os presentes para localização dessas áreas.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55"/>
          <w:tab w:val="left" w:pos="1602"/>
          <w:tab w:val="left" w:pos="2049"/>
          <w:tab w:val="left" w:pos="2496"/>
          <w:tab w:val="left" w:pos="2682"/>
          <w:tab w:val="left" w:pos="2943"/>
          <w:tab w:val="left" w:pos="3106"/>
          <w:tab w:val="left" w:pos="3117"/>
        </w:tabs>
        <w:spacing w:after="142"/>
        <w:ind w:left="447" w:hanging="435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O analista ambiental do ICMBIO Cláudio Fabi deu continuidade aos trabalhos, apresentando a proposta de pauta da reunião, que foi aprovada pelos conselheiros com a inclusão de um espaço, no final das discussões, para o conselheiro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Gandh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Gouveia abordar o projeto de saneamento da foz dos rios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Manguaba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e Camaragibe, que será tema de reunião em São Miguel dos Milagres, no dia 26 de setembro.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200"/>
          <w:tab w:val="left" w:pos="1692"/>
          <w:tab w:val="left" w:pos="2184"/>
          <w:tab w:val="left" w:pos="2676"/>
          <w:tab w:val="left" w:pos="2952"/>
          <w:tab w:val="left" w:pos="3168"/>
          <w:tab w:val="left" w:pos="3421"/>
        </w:tabs>
        <w:spacing w:after="142"/>
        <w:ind w:left="492" w:hanging="504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Na sequência, Cláudio Fabi colocou em discussão a aprovação da memória da 7ª reunião ordinária do CONAPAC;</w:t>
      </w:r>
    </w:p>
    <w:p w:rsidR="00DE591E" w:rsidRPr="007E3651" w:rsidRDefault="00E2433E" w:rsidP="009D7EF2">
      <w:pPr>
        <w:pStyle w:val="Padro"/>
        <w:numPr>
          <w:ilvl w:val="0"/>
          <w:numId w:val="6"/>
        </w:numPr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522"/>
        </w:tabs>
        <w:spacing w:after="142"/>
        <w:jc w:val="both"/>
        <w:rPr>
          <w:rFonts w:ascii="Times New Roman" w:hAnsi="Times New Roman"/>
          <w:color w:val="auto"/>
          <w:sz w:val="24"/>
          <w:szCs w:val="24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José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Heriberto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Lima alertou que o formato de memória da ultima reunião foge completamente do que estava sendo utilizado até então pelo CONAPAC e solicitou a manutenção do padrão anterior;</w:t>
      </w:r>
      <w:r w:rsidR="002F3430" w:rsidRPr="007E3651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9D7EF2" w:rsidRPr="007E3651" w:rsidRDefault="009D7EF2" w:rsidP="009D7EF2">
      <w:pPr>
        <w:pStyle w:val="Padro"/>
        <w:numPr>
          <w:ilvl w:val="0"/>
          <w:numId w:val="6"/>
        </w:numPr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522"/>
        </w:tabs>
        <w:spacing w:after="142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Eduardo informou que, na véspera da reunião, havia recebido um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email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de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Heriberto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com sugestões de alteração da memória da reunião. Por não terem sido encaminhadas com maior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antecedeência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>, tais sugestões não foram apreciadas pelo grupo de discussão virtual do CONAPAC.</w:t>
      </w:r>
    </w:p>
    <w:p w:rsidR="009D7EF2" w:rsidRPr="007E3651" w:rsidRDefault="009D7EF2" w:rsidP="009D7EF2">
      <w:pPr>
        <w:pStyle w:val="Padro"/>
        <w:numPr>
          <w:ilvl w:val="0"/>
          <w:numId w:val="6"/>
        </w:numPr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522"/>
        </w:tabs>
        <w:spacing w:after="142"/>
        <w:jc w:val="both"/>
        <w:rPr>
          <w:color w:val="auto"/>
        </w:rPr>
      </w:pP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Heriberto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ressaltou que, em reuniões anteriores, o CONAPAC havia deliberado que o registro da reunião seria feito na forma de Memória, na qual </w:t>
      </w:r>
      <w:proofErr w:type="gramStart"/>
      <w:r w:rsidRPr="007E3651">
        <w:rPr>
          <w:rFonts w:ascii="Times New Roman" w:hAnsi="Times New Roman"/>
          <w:color w:val="auto"/>
          <w:sz w:val="24"/>
          <w:szCs w:val="24"/>
        </w:rPr>
        <w:t>deveria</w:t>
      </w:r>
      <w:proofErr w:type="gramEnd"/>
      <w:r w:rsidRPr="007E3651">
        <w:rPr>
          <w:rFonts w:ascii="Times New Roman" w:hAnsi="Times New Roman"/>
          <w:color w:val="auto"/>
          <w:sz w:val="24"/>
          <w:szCs w:val="24"/>
        </w:rPr>
        <w:t xml:space="preserve"> ser relatado, de forma resumida, os assuntos discutidos e as deliberações ou encaminhamentos aprovados. O texto da memória da 7° reunião apresenta características de uma ata de reunião.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Entretant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, não informa quem presidiu e qual foi </w:t>
      </w:r>
      <w:proofErr w:type="gramStart"/>
      <w:r w:rsidRPr="007E3651">
        <w:rPr>
          <w:rFonts w:ascii="Times New Roman" w:hAnsi="Times New Roman"/>
          <w:color w:val="auto"/>
          <w:sz w:val="24"/>
          <w:szCs w:val="24"/>
        </w:rPr>
        <w:t>a</w:t>
      </w:r>
      <w:proofErr w:type="gramEnd"/>
      <w:r w:rsidRPr="007E3651">
        <w:rPr>
          <w:rFonts w:ascii="Times New Roman" w:hAnsi="Times New Roman"/>
          <w:color w:val="auto"/>
          <w:sz w:val="24"/>
          <w:szCs w:val="24"/>
        </w:rPr>
        <w:t xml:space="preserve"> pauta da reunião, não inclui um resumo do que foi apresentado e discutido pelos participantes e a apresentação dos debates não tem uma sequência lógica</w:t>
      </w:r>
      <w:r w:rsidR="007E3651" w:rsidRPr="007E3651">
        <w:rPr>
          <w:rFonts w:ascii="Times New Roman" w:hAnsi="Times New Roman"/>
          <w:color w:val="auto"/>
          <w:sz w:val="24"/>
          <w:szCs w:val="24"/>
        </w:rPr>
        <w:t>, apresentando em alguns casos apenas a resposta daquilo que foi perguntado, tornando difícil entender o que está relatando na Memória da reunião fosse refeita antes de ser submetida para aprovação do plenário.</w:t>
      </w:r>
    </w:p>
    <w:p w:rsidR="00DE591E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584"/>
          <w:tab w:val="left" w:pos="2814"/>
          <w:tab w:val="left" w:pos="3053"/>
          <w:tab w:val="left" w:pos="3522"/>
        </w:tabs>
        <w:spacing w:after="142"/>
        <w:ind w:left="469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d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>) Beatriz Mesquita alegou que, por ser elaborada por diferentes conselheiros, é justificável que a memória não obedeça sempre ao mesmo padrão;</w:t>
      </w:r>
    </w:p>
    <w:p w:rsidR="00DE591E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584"/>
          <w:tab w:val="left" w:pos="2814"/>
          <w:tab w:val="left" w:pos="3053"/>
          <w:tab w:val="left" w:pos="3261"/>
        </w:tabs>
        <w:spacing w:after="142"/>
        <w:ind w:left="469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e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) </w:t>
      </w:r>
      <w:r w:rsidR="00ED2E97" w:rsidRPr="007E3651">
        <w:rPr>
          <w:rFonts w:ascii="Times New Roman" w:hAnsi="Times New Roman"/>
          <w:color w:val="auto"/>
          <w:sz w:val="24"/>
          <w:szCs w:val="24"/>
        </w:rPr>
        <w:t>Eduardo Alm</w:t>
      </w:r>
      <w:r w:rsidR="00F83F5E" w:rsidRPr="007E3651">
        <w:rPr>
          <w:rFonts w:ascii="Times New Roman" w:hAnsi="Times New Roman"/>
          <w:color w:val="auto"/>
          <w:sz w:val="24"/>
          <w:szCs w:val="24"/>
        </w:rPr>
        <w:t xml:space="preserve">eida e Bruno </w:t>
      </w:r>
      <w:proofErr w:type="spellStart"/>
      <w:r w:rsidR="00F83F5E" w:rsidRPr="007E3651">
        <w:rPr>
          <w:rFonts w:ascii="Times New Roman" w:hAnsi="Times New Roman"/>
          <w:color w:val="auto"/>
          <w:sz w:val="24"/>
          <w:szCs w:val="24"/>
        </w:rPr>
        <w:t>Stefanis</w:t>
      </w:r>
      <w:proofErr w:type="spellEnd"/>
      <w:r w:rsidR="00F83F5E" w:rsidRPr="007E3651">
        <w:rPr>
          <w:rFonts w:ascii="Times New Roman" w:hAnsi="Times New Roman"/>
          <w:color w:val="auto"/>
          <w:sz w:val="24"/>
          <w:szCs w:val="24"/>
        </w:rPr>
        <w:t xml:space="preserve"> lembraram</w:t>
      </w:r>
      <w:r w:rsidR="00ED2E97" w:rsidRPr="007E3651">
        <w:rPr>
          <w:rFonts w:ascii="Times New Roman" w:hAnsi="Times New Roman"/>
          <w:color w:val="auto"/>
          <w:sz w:val="24"/>
          <w:szCs w:val="24"/>
        </w:rPr>
        <w:t xml:space="preserve"> que as alterações na memória podem e devem ser sugeridas por </w:t>
      </w:r>
      <w:r w:rsidR="006C32B6" w:rsidRPr="007E3651">
        <w:rPr>
          <w:rFonts w:ascii="Times New Roman" w:hAnsi="Times New Roman"/>
          <w:color w:val="auto"/>
          <w:sz w:val="24"/>
          <w:szCs w:val="24"/>
        </w:rPr>
        <w:t>e-mail e que houve vários meses</w:t>
      </w:r>
      <w:r w:rsidR="00ED2E97" w:rsidRPr="007E3651">
        <w:rPr>
          <w:rFonts w:ascii="Times New Roman" w:hAnsi="Times New Roman"/>
          <w:color w:val="auto"/>
          <w:sz w:val="24"/>
          <w:szCs w:val="24"/>
        </w:rPr>
        <w:t>, restando aos conselheiros apenas a função de aprová-la na reunião seguinte;</w:t>
      </w:r>
    </w:p>
    <w:p w:rsidR="00DE591E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584"/>
          <w:tab w:val="left" w:pos="2814"/>
          <w:tab w:val="left" w:pos="3053"/>
          <w:tab w:val="left" w:pos="3261"/>
        </w:tabs>
        <w:spacing w:after="142"/>
        <w:ind w:left="469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f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) Alberto Rodrigues, Marcelo </w:t>
      </w:r>
      <w:proofErr w:type="spellStart"/>
      <w:r w:rsidR="00E2433E" w:rsidRPr="007E3651">
        <w:rPr>
          <w:rFonts w:ascii="Times New Roman" w:hAnsi="Times New Roman"/>
          <w:color w:val="auto"/>
          <w:sz w:val="24"/>
          <w:szCs w:val="24"/>
        </w:rPr>
        <w:t>Françozo</w:t>
      </w:r>
      <w:proofErr w:type="spellEnd"/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 e </w:t>
      </w:r>
      <w:r w:rsidR="00E2433E" w:rsidRPr="007E3651">
        <w:rPr>
          <w:rFonts w:ascii="Times New Roman" w:eastAsia="Times New Roman" w:hAnsi="Times New Roman" w:cs="Times New Roman"/>
          <w:color w:val="auto"/>
          <w:sz w:val="24"/>
          <w:szCs w:val="24"/>
        </w:rPr>
        <w:t>José Maciel dos Santos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 concordaram que o CONAPAC necessita de um material mais executivo e resumido, com enfoque nos 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lastRenderedPageBreak/>
        <w:t>encaminhamentos da reunião;</w:t>
      </w:r>
      <w:r w:rsidR="00ED2E97" w:rsidRPr="007E3651">
        <w:rPr>
          <w:rFonts w:ascii="Times New Roman" w:hAnsi="Times New Roman"/>
          <w:color w:val="auto"/>
          <w:sz w:val="24"/>
          <w:szCs w:val="24"/>
        </w:rPr>
        <w:t xml:space="preserve"> e Eduardo acrescentou que esses encaminhamentos estão sumarizados na memória da 7° reunião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>;</w:t>
      </w:r>
    </w:p>
    <w:p w:rsidR="00DE591E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261"/>
        </w:tabs>
        <w:spacing w:after="142"/>
        <w:ind w:left="469" w:hanging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g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) 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>Marcelo se disponibilizou a fazer um resumo da memória anterior para facilitar a compreensão dos conselheiros, sem substituir a memória já aprovada. No entanto, nada ficou encaminhado;</w:t>
      </w:r>
    </w:p>
    <w:p w:rsidR="00DE591E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261"/>
        </w:tabs>
        <w:spacing w:after="142"/>
        <w:ind w:left="469" w:hanging="11"/>
        <w:jc w:val="both"/>
        <w:rPr>
          <w:rFonts w:ascii="Times New Roman" w:hAnsi="Times New Roman"/>
          <w:color w:val="auto"/>
          <w:sz w:val="24"/>
          <w:szCs w:val="24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h</w:t>
      </w:r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) Por votação da maioria (10 favoráveis x </w:t>
      </w:r>
      <w:proofErr w:type="gramStart"/>
      <w:r w:rsidR="00E2433E" w:rsidRPr="007E3651">
        <w:rPr>
          <w:rFonts w:ascii="Times New Roman" w:hAnsi="Times New Roman"/>
          <w:color w:val="auto"/>
          <w:sz w:val="24"/>
          <w:szCs w:val="24"/>
        </w:rPr>
        <w:t>3</w:t>
      </w:r>
      <w:proofErr w:type="gramEnd"/>
      <w:r w:rsidR="00E2433E" w:rsidRPr="007E3651">
        <w:rPr>
          <w:rFonts w:ascii="Times New Roman" w:hAnsi="Times New Roman"/>
          <w:color w:val="auto"/>
          <w:sz w:val="24"/>
          <w:szCs w:val="24"/>
        </w:rPr>
        <w:t xml:space="preserve"> contrários) a memória da 7ª reunião do Conselho foi aprovada com as alterações feitas p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>elo grupo virtual de discussões;</w:t>
      </w:r>
    </w:p>
    <w:p w:rsidR="009A2B44" w:rsidRPr="007E3651" w:rsidRDefault="007E3651">
      <w:pPr>
        <w:pStyle w:val="Padro"/>
        <w:tabs>
          <w:tab w:val="left" w:pos="1177"/>
          <w:tab w:val="left" w:pos="1646"/>
          <w:tab w:val="left" w:pos="2115"/>
          <w:tab w:val="left" w:pos="2345"/>
          <w:tab w:val="left" w:pos="2584"/>
          <w:tab w:val="left" w:pos="2814"/>
          <w:tab w:val="left" w:pos="3053"/>
          <w:tab w:val="left" w:pos="3261"/>
        </w:tabs>
        <w:spacing w:after="142"/>
        <w:ind w:left="469" w:hanging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i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 xml:space="preserve">) </w:t>
      </w:r>
      <w:proofErr w:type="spellStart"/>
      <w:r w:rsidR="009A2B44" w:rsidRPr="007E3651">
        <w:rPr>
          <w:rFonts w:ascii="Times New Roman" w:hAnsi="Times New Roman"/>
          <w:color w:val="auto"/>
          <w:sz w:val="24"/>
          <w:szCs w:val="24"/>
        </w:rPr>
        <w:t>Heriberto</w:t>
      </w:r>
      <w:proofErr w:type="spellEnd"/>
      <w:r w:rsidR="009A2B44" w:rsidRPr="007E3651">
        <w:rPr>
          <w:rFonts w:ascii="Times New Roman" w:hAnsi="Times New Roman"/>
          <w:color w:val="auto"/>
          <w:sz w:val="24"/>
          <w:szCs w:val="24"/>
        </w:rPr>
        <w:t xml:space="preserve"> solicitou que ficasse </w:t>
      </w:r>
      <w:proofErr w:type="gramStart"/>
      <w:r w:rsidR="009A2B44" w:rsidRPr="007E3651">
        <w:rPr>
          <w:rFonts w:ascii="Times New Roman" w:hAnsi="Times New Roman"/>
          <w:color w:val="auto"/>
          <w:sz w:val="24"/>
          <w:szCs w:val="24"/>
        </w:rPr>
        <w:t>registrado na memória que não está de acordo com o formato da memória aprovada e que a mesma se encontra confusa</w:t>
      </w:r>
      <w:proofErr w:type="gramEnd"/>
      <w:r w:rsidR="009A2B44" w:rsidRPr="007E3651">
        <w:rPr>
          <w:rFonts w:ascii="Times New Roman" w:hAnsi="Times New Roman"/>
          <w:color w:val="auto"/>
          <w:sz w:val="24"/>
          <w:szCs w:val="24"/>
        </w:rPr>
        <w:t xml:space="preserve"> e pode deixar margens a entendimentos errados.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hanging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Dando início ao 1º tópico da pauta, Paulo Roberto apresentou a execução orçamentária da APACC em 2013, dividida por fontes de recurso: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59"/>
          <w:tab w:val="left" w:pos="2998"/>
          <w:tab w:val="left" w:pos="3206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7E3651">
        <w:rPr>
          <w:rFonts w:ascii="Times New Roman" w:hAnsi="Times New Roman"/>
          <w:color w:val="auto"/>
          <w:sz w:val="24"/>
          <w:szCs w:val="24"/>
          <w:u w:val="single"/>
        </w:rPr>
        <w:t>Parceria Público-Privada: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destinada à aquisição de equipamentos, contratação de serviços e produção de material de divulgação;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59"/>
          <w:tab w:val="left" w:pos="2998"/>
          <w:tab w:val="left" w:pos="3206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7E3651">
        <w:rPr>
          <w:rFonts w:ascii="Times New Roman" w:hAnsi="Times New Roman"/>
          <w:color w:val="auto"/>
          <w:sz w:val="24"/>
          <w:szCs w:val="24"/>
          <w:u w:val="single"/>
        </w:rPr>
        <w:t>Compensação ambiental: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usada na reforma da base da UC em Barra de Santo Antônio;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37"/>
          <w:tab w:val="left" w:pos="2998"/>
          <w:tab w:val="left" w:pos="3149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- </w:t>
      </w:r>
      <w:r w:rsidRPr="007E3651">
        <w:rPr>
          <w:rFonts w:ascii="Times New Roman" w:hAnsi="Times New Roman"/>
          <w:color w:val="auto"/>
          <w:sz w:val="24"/>
          <w:szCs w:val="24"/>
          <w:u w:val="single"/>
        </w:rPr>
        <w:t>Orçamento da União: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gastos referentes ao pagamento de impostos, proventos de servidores, diárias e manutenção de veículos.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37"/>
          <w:tab w:val="left" w:pos="2998"/>
          <w:tab w:val="left" w:pos="3149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a) Paulo Roberto informou que todos os dados já estão ou serão disponibilizados no site da APACC, no Portal da Transparência ou no Portal do ICMBIO;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b)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Juvenita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Lucena sugeriu que os dados apresentados na segunda tabela sejam especificados como “recursos provenientes de compensação ambiental”;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634"/>
          <w:tab w:val="left" w:pos="2645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c) Mauro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Maida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solicitou que seja informada a origem dos recursos de compensação;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634"/>
          <w:tab w:val="left" w:pos="2645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d) Karine Magalhães pediu a inclusão do percentual gasto em cada fonte de recurso;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634"/>
          <w:tab w:val="left" w:pos="2645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e) Claudio Fabi informou que os recursos proveniente da parceria público-privada, que não são utilizadas no ano, vão para o fundo da APACC.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hanging="447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Na sequência, Mauro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Maida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apresentou o 2º tópico da pauta, referente à divulgação do diagnóstico socioambiental do plano de manejo da APACC, informando que o Projeto Recifes Costeiros entregou ao IBAMA em 2006 um documento de 940 páginas, dividido em quatro encartes, atendendo ao padrão exigido na época pelos órgãos ambientais. O conselheiro da UFPE disse que o ICMBIO optou por um documento mais enxuto e que os encartes produzidos viriam como anexo, mas sem a citação dos técnicos que o elaboraram, porém, soube depois que não havia recursos para publicá-los. Por isso, Mauro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Maida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conseguiu que o diagnóstico fosse publicado pela UFPE, como e-book, com possibilidade de se colocar um link no site da APACC para download do arquivo;</w:t>
      </w:r>
    </w:p>
    <w:p w:rsidR="00DE591E" w:rsidRPr="007E3651" w:rsidRDefault="00E2433E">
      <w:pPr>
        <w:pStyle w:val="Padro"/>
        <w:tabs>
          <w:tab w:val="left" w:pos="1155"/>
          <w:tab w:val="left" w:pos="1602"/>
          <w:tab w:val="left" w:pos="2049"/>
          <w:tab w:val="left" w:pos="2496"/>
          <w:tab w:val="left" w:pos="2693"/>
          <w:tab w:val="left" w:pos="2943"/>
          <w:tab w:val="left" w:pos="3128"/>
        </w:tabs>
        <w:spacing w:after="142"/>
        <w:ind w:left="447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a) </w:t>
      </w:r>
      <w:r w:rsidR="001C0520" w:rsidRPr="007E3651">
        <w:rPr>
          <w:rFonts w:ascii="Times New Roman" w:hAnsi="Times New Roman"/>
          <w:color w:val="auto"/>
          <w:sz w:val="24"/>
          <w:szCs w:val="24"/>
        </w:rPr>
        <w:t xml:space="preserve">Paulo Roberto esclareceu que o planejamento de ações, </w:t>
      </w:r>
      <w:proofErr w:type="gramStart"/>
      <w:r w:rsidR="001C0520" w:rsidRPr="007E3651">
        <w:rPr>
          <w:rFonts w:ascii="Times New Roman" w:hAnsi="Times New Roman"/>
          <w:color w:val="auto"/>
          <w:sz w:val="24"/>
          <w:szCs w:val="24"/>
        </w:rPr>
        <w:t>contido</w:t>
      </w:r>
      <w:proofErr w:type="gramEnd"/>
      <w:r w:rsidR="001C0520" w:rsidRPr="007E3651">
        <w:rPr>
          <w:rFonts w:ascii="Times New Roman" w:hAnsi="Times New Roman"/>
          <w:color w:val="auto"/>
          <w:sz w:val="24"/>
          <w:szCs w:val="24"/>
        </w:rPr>
        <w:t xml:space="preserve"> no plano de manejo publicado em 2013, foi produzido totalmente pela equipe técnica do ICMBIO APA Costa dos Corais.</w:t>
      </w:r>
    </w:p>
    <w:p w:rsidR="00DE591E" w:rsidRPr="007E3651" w:rsidRDefault="00E2433E">
      <w:pPr>
        <w:pStyle w:val="Padro"/>
        <w:tabs>
          <w:tab w:val="left" w:pos="1155"/>
          <w:tab w:val="left" w:pos="1602"/>
          <w:tab w:val="left" w:pos="2049"/>
          <w:tab w:val="left" w:pos="2496"/>
          <w:tab w:val="left" w:pos="2704"/>
          <w:tab w:val="left" w:pos="2943"/>
          <w:tab w:val="left" w:pos="3139"/>
        </w:tabs>
        <w:spacing w:after="142"/>
        <w:ind w:left="447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lastRenderedPageBreak/>
        <w:t xml:space="preserve">b) Mauro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Maida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disse que o ICMBIO fez apenas uma edição do material produzido pelo Projeto Recifes Costeiros e se baseou nas informações e nas experiências colocadas nos encartes para elaborar o planejamento de ações do documento atual;</w:t>
      </w:r>
    </w:p>
    <w:p w:rsidR="00DE591E" w:rsidRPr="007E3651" w:rsidRDefault="00E2433E">
      <w:pPr>
        <w:pStyle w:val="Padro"/>
        <w:tabs>
          <w:tab w:val="left" w:pos="1155"/>
          <w:tab w:val="left" w:pos="1602"/>
          <w:tab w:val="left" w:pos="2049"/>
          <w:tab w:val="left" w:pos="2496"/>
          <w:tab w:val="left" w:pos="2704"/>
          <w:tab w:val="left" w:pos="2943"/>
          <w:tab w:val="left" w:pos="3139"/>
        </w:tabs>
        <w:spacing w:after="142"/>
        <w:ind w:left="447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c)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Antonio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Clerton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opinou que caberia ao Ministério do Meio Ambiente captar recursos para impressão dos encartes e inserção no Boletim Técnico do CEPENE;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748"/>
          <w:tab w:val="left" w:pos="2998"/>
          <w:tab w:val="left" w:pos="3183"/>
        </w:tabs>
        <w:spacing w:after="142"/>
        <w:ind w:left="458" w:hanging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d) Outros conselheiros,</w:t>
      </w:r>
      <w:r w:rsidR="00B559DA" w:rsidRPr="007E3651">
        <w:rPr>
          <w:rFonts w:ascii="Times New Roman" w:hAnsi="Times New Roman"/>
          <w:color w:val="auto"/>
          <w:sz w:val="24"/>
          <w:szCs w:val="24"/>
        </w:rPr>
        <w:t xml:space="preserve"> como </w:t>
      </w:r>
      <w:proofErr w:type="spellStart"/>
      <w:r w:rsidR="00B559DA" w:rsidRPr="007E3651">
        <w:rPr>
          <w:rFonts w:ascii="Times New Roman" w:hAnsi="Times New Roman"/>
          <w:color w:val="auto"/>
          <w:sz w:val="24"/>
          <w:szCs w:val="24"/>
        </w:rPr>
        <w:t>Gandh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Gouveia, Iran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Normande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e José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Heriberto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>, ressaltaram a importância da divulgação das informações contidas nos encartes e solicitaram a atualização do conteúdo;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748"/>
          <w:tab w:val="left" w:pos="2998"/>
          <w:tab w:val="left" w:pos="3183"/>
        </w:tabs>
        <w:spacing w:after="142"/>
        <w:ind w:left="458" w:hanging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e) Cláudio Fabi lembrou que o SNUC já prevê a atualização dos planos de manejo das unidades de conservação a cada cinco anos;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748"/>
          <w:tab w:val="left" w:pos="2998"/>
          <w:tab w:val="left" w:pos="3183"/>
        </w:tabs>
        <w:spacing w:after="142"/>
        <w:ind w:left="458" w:hanging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f) Como encaminhamento do tema, a plenária concordou que o diagnóstico seja publicado como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ebook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pela UFPE.</w:t>
      </w:r>
    </w:p>
    <w:p w:rsidR="00DE591E" w:rsidRPr="007E3651" w:rsidRDefault="00E2433E">
      <w:pPr>
        <w:pStyle w:val="Padro"/>
        <w:numPr>
          <w:ilvl w:val="0"/>
          <w:numId w:val="1"/>
        </w:numPr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hanging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Claudio Fabi iniciou as discussões sobre o próximo assunto da reunião, referente às alterações na proposta de ordenamento das Zonas de Visitação de Maragogi;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290"/>
          <w:tab w:val="left" w:pos="2540"/>
          <w:tab w:val="left" w:pos="2748"/>
          <w:tab w:val="left" w:pos="2998"/>
          <w:tab w:val="left" w:pos="3183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a) Paulo Roberto apresentou o histórico do processo, no período de 2009 à 2013, com a proposta de inclusão do serviço oferecido por pescadores em escunas e a possibilidade de criação de novas zonas de visitação: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23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- 2009: passeio de catamarãs, lanchas e mergulho autônomo exclusivamente para as piscinas naturais das Galés de Maragogi, para um público total de 705 pessoas ao dia;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- 2010: ampliação dos passeios para mais duas áreas (Taocas e Barra Grande), para um público de até 1.425 pessoas por dia;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- 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 xml:space="preserve">Dezembro de 2010: 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abertura de vagas para fotógrafos subaquáticos </w:t>
      </w:r>
      <w:r w:rsidR="002F3430" w:rsidRPr="007E3651">
        <w:rPr>
          <w:rFonts w:ascii="Times New Roman" w:hAnsi="Times New Roman"/>
          <w:color w:val="auto"/>
          <w:sz w:val="24"/>
          <w:szCs w:val="24"/>
        </w:rPr>
        <w:t xml:space="preserve">totalizando </w:t>
      </w:r>
      <w:r w:rsidRPr="007E3651">
        <w:rPr>
          <w:rFonts w:ascii="Times New Roman" w:hAnsi="Times New Roman"/>
          <w:color w:val="auto"/>
          <w:sz w:val="24"/>
          <w:szCs w:val="24"/>
        </w:rPr>
        <w:t>(1.465 pessoas por dia);</w:t>
      </w:r>
      <w:r w:rsidR="001C0520" w:rsidRPr="007E3651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- fevereiro de 2013: 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>restrição</w:t>
      </w:r>
      <w:r w:rsidRPr="007E3651">
        <w:rPr>
          <w:rFonts w:ascii="Times New Roman" w:hAnsi="Times New Roman"/>
          <w:color w:val="auto"/>
          <w:sz w:val="24"/>
          <w:szCs w:val="24"/>
        </w:rPr>
        <w:t xml:space="preserve"> do passeio feito ilegalmente por barcos de pesca, que ocasionou o fechamento do acesso às piscinas naturais pelos pescadores e o início do processo de negociação com o setor;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>- agosto de 2013: proposta de adequação da atividade com diminuição do número de passageiros dos catamarãs, para inclusão de vagas para o passeio oferecido por pescadores em escunas, elevando o público máximo para até 1.585 pessoas ao dia</w:t>
      </w:r>
      <w:r w:rsidR="009A2B44" w:rsidRPr="007E3651">
        <w:rPr>
          <w:rFonts w:ascii="Times New Roman" w:hAnsi="Times New Roman"/>
          <w:color w:val="auto"/>
          <w:sz w:val="24"/>
          <w:szCs w:val="24"/>
        </w:rPr>
        <w:t xml:space="preserve"> nas três piscinas</w:t>
      </w:r>
      <w:r w:rsidRPr="007E3651">
        <w:rPr>
          <w:rFonts w:ascii="Times New Roman" w:hAnsi="Times New Roman"/>
          <w:color w:val="auto"/>
          <w:sz w:val="24"/>
          <w:szCs w:val="24"/>
        </w:rPr>
        <w:t>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b) Dando início ao debate, Mauro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Maida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informou que na proposta de plano de manejo elaborada em 2006 há um histórico do turismo realizado nas piscinas naturais de Maragogi, de 1998 a 2005, e que a história se repete com a ampliação do número de visitantes para atender interesses econômicos e não ambientais, afirmando que não existe razão ambiental para se dobrar em cinco anos o limite de visitantes permitidos;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c) Paulo Roberto lembrou que em Maragogi já há uma Zona de Preservação da Vida Marinha e que, por ser uma unidade de uso sustentável, a APACC deve ordenar as atividades humanas realizadas na área protegida, considerando também as questões socioeconômicas. 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  <w:shd w:val="clear" w:color="auto" w:fill="FFFFFF"/>
        </w:rPr>
        <w:lastRenderedPageBreak/>
        <w:t xml:space="preserve">d) José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Heriberto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questionou o motivo do CONAPAC só ser informado após as discussões com os setores envolvidos e que a questão deveria ter sido encaminhada previamente para ser discutida pelas câmaras técnicas;</w:t>
      </w:r>
    </w:p>
    <w:p w:rsidR="00DE591E" w:rsidRPr="007E3651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7E3651">
        <w:rPr>
          <w:rFonts w:ascii="Times New Roman" w:hAnsi="Times New Roman"/>
          <w:color w:val="auto"/>
          <w:sz w:val="24"/>
          <w:szCs w:val="24"/>
        </w:rPr>
        <w:t xml:space="preserve">e) Iran </w:t>
      </w:r>
      <w:proofErr w:type="spellStart"/>
      <w:r w:rsidRPr="007E3651">
        <w:rPr>
          <w:rFonts w:ascii="Times New Roman" w:hAnsi="Times New Roman"/>
          <w:color w:val="auto"/>
          <w:sz w:val="24"/>
          <w:szCs w:val="24"/>
        </w:rPr>
        <w:t>Normande</w:t>
      </w:r>
      <w:proofErr w:type="spellEnd"/>
      <w:r w:rsidRPr="007E3651">
        <w:rPr>
          <w:rFonts w:ascii="Times New Roman" w:hAnsi="Times New Roman"/>
          <w:color w:val="auto"/>
          <w:sz w:val="24"/>
          <w:szCs w:val="24"/>
        </w:rPr>
        <w:t xml:space="preserve"> e Beatriz Mesquita opinaram que a instrução normativa deveria passar pelas câmaras técnicas de Pesca e Turismo, para envolver todos os segmentos interessados na questão, e mostraram preocupação com o fato de que essa ampliação no número de visitantes estimule outros grupos sociais a terem o mesmo direito, como os envolvidos no passeio para observação do peixe-boi</w:t>
      </w:r>
      <w:r w:rsidR="00F83F5E" w:rsidRPr="007E3651">
        <w:rPr>
          <w:rFonts w:ascii="Times New Roman" w:hAnsi="Times New Roman"/>
          <w:color w:val="auto"/>
          <w:sz w:val="24"/>
          <w:szCs w:val="24"/>
        </w:rPr>
        <w:t>. O chefe da AP</w:t>
      </w:r>
      <w:r w:rsidR="00F83F5E" w:rsidRPr="007E3651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ACC concorda que o tema seja levado para a análise das câmaras técnicas e que o encaminhamento dessas propostas torne-se uma rotina;</w:t>
      </w:r>
    </w:p>
    <w:bookmarkEnd w:id="0"/>
    <w:p w:rsidR="00DE591E" w:rsidRDefault="00F83F5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f) Claudio Fabi </w:t>
      </w:r>
      <w:r w:rsidR="00E2433E">
        <w:rPr>
          <w:rFonts w:ascii="Times New Roman" w:hAnsi="Times New Roman"/>
          <w:sz w:val="24"/>
          <w:szCs w:val="24"/>
          <w:shd w:val="clear" w:color="auto" w:fill="FFFFFF"/>
        </w:rPr>
        <w:t xml:space="preserve">explicou que o ICMBIO definiu a capacidade de suporte das piscinas naturais, antes da elaboração </w:t>
      </w:r>
      <w:r w:rsidR="009A2B44">
        <w:rPr>
          <w:rFonts w:ascii="Times New Roman" w:hAnsi="Times New Roman"/>
          <w:sz w:val="24"/>
          <w:szCs w:val="24"/>
          <w:shd w:val="clear" w:color="auto" w:fill="FFFFFF"/>
        </w:rPr>
        <w:t>da IN n° 08</w:t>
      </w:r>
      <w:r w:rsidR="00E2433E">
        <w:rPr>
          <w:rFonts w:ascii="Times New Roman" w:hAnsi="Times New Roman"/>
          <w:sz w:val="24"/>
          <w:szCs w:val="24"/>
          <w:shd w:val="clear" w:color="auto" w:fill="FFFFFF"/>
        </w:rPr>
        <w:t>, e que o process</w:t>
      </w:r>
      <w:r w:rsidR="009A2B44">
        <w:rPr>
          <w:rFonts w:ascii="Times New Roman" w:hAnsi="Times New Roman"/>
          <w:sz w:val="24"/>
          <w:szCs w:val="24"/>
          <w:shd w:val="clear" w:color="auto" w:fill="FFFFFF"/>
        </w:rPr>
        <w:t>o ocorreu de forma participativa</w:t>
      </w:r>
      <w:r w:rsidR="00E2433E">
        <w:rPr>
          <w:rFonts w:ascii="Times New Roman" w:hAnsi="Times New Roman"/>
          <w:sz w:val="24"/>
          <w:szCs w:val="24"/>
          <w:shd w:val="clear" w:color="auto" w:fill="FFFFFF"/>
        </w:rPr>
        <w:t xml:space="preserve"> desde o inicio;</w:t>
      </w:r>
    </w:p>
    <w:p w:rsidR="00DE591E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g) Mauro </w:t>
      </w:r>
      <w:proofErr w:type="spellStart"/>
      <w:r>
        <w:rPr>
          <w:rFonts w:ascii="Times New Roman" w:hAnsi="Times New Roman"/>
          <w:sz w:val="24"/>
          <w:szCs w:val="24"/>
          <w:shd w:val="clear" w:color="auto" w:fill="FFFFFF"/>
        </w:rPr>
        <w:t>Maida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soli</w:t>
      </w:r>
      <w:r>
        <w:rPr>
          <w:rFonts w:ascii="Times New Roman" w:hAnsi="Times New Roman"/>
          <w:sz w:val="24"/>
          <w:szCs w:val="24"/>
        </w:rPr>
        <w:t>citou que esse estudo de capacidade de suporte fosse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>disponibilizado para os conselheiros;</w:t>
      </w:r>
    </w:p>
    <w:p w:rsidR="00DE591E" w:rsidRDefault="00E2433E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h) Claudio Fabi adiantou que a Instrução Normativa também vai ser encaminhada para a análise do COMDEMA de Maragogi e explicou que novas áreas de visitação vão ser criadas nos demais municípios da APACC para regulamentar previamente a atividade. O analista ambiental do ICMBIO anunciou que duas reuniões vão ser realizadas em Japaratinga para identificar áreas </w:t>
      </w:r>
      <w:proofErr w:type="spellStart"/>
      <w:r>
        <w:rPr>
          <w:rFonts w:ascii="Times New Roman" w:hAnsi="Times New Roman"/>
          <w:sz w:val="24"/>
          <w:szCs w:val="24"/>
        </w:rPr>
        <w:t>recifais</w:t>
      </w:r>
      <w:proofErr w:type="spellEnd"/>
      <w:r>
        <w:rPr>
          <w:rFonts w:ascii="Times New Roman" w:hAnsi="Times New Roman"/>
          <w:sz w:val="24"/>
          <w:szCs w:val="24"/>
        </w:rPr>
        <w:t xml:space="preserve"> com potencial para visitação e conservação. Na sequência, a equipe técnica irá vistoriar os locais e depois ocorrerão as audiências públicas, para discussão da proposta com a comunidade.</w:t>
      </w:r>
    </w:p>
    <w:p w:rsidR="009A2B44" w:rsidRPr="004E57FD" w:rsidRDefault="009A2B44">
      <w:pPr>
        <w:pStyle w:val="Padro"/>
        <w:tabs>
          <w:tab w:val="left" w:pos="1166"/>
          <w:tab w:val="left" w:pos="1624"/>
          <w:tab w:val="left" w:pos="2082"/>
          <w:tab w:val="left" w:pos="2540"/>
          <w:tab w:val="left" w:pos="2748"/>
          <w:tab w:val="left" w:pos="2998"/>
          <w:tab w:val="left" w:pos="3183"/>
        </w:tabs>
        <w:spacing w:after="142"/>
        <w:ind w:left="458" w:firstLine="11"/>
        <w:jc w:val="both"/>
        <w:rPr>
          <w:color w:val="auto"/>
        </w:rPr>
      </w:pPr>
      <w:r w:rsidRPr="004E57FD">
        <w:rPr>
          <w:rFonts w:ascii="Times New Roman" w:hAnsi="Times New Roman"/>
          <w:color w:val="auto"/>
          <w:sz w:val="24"/>
          <w:szCs w:val="24"/>
        </w:rPr>
        <w:t>g) Claudio Fabi ainda acrescentou que ao artigo 225 da Constituição</w:t>
      </w:r>
      <w:r w:rsidR="00776EDE" w:rsidRPr="004E57FD">
        <w:rPr>
          <w:rFonts w:ascii="Times New Roman" w:hAnsi="Times New Roman"/>
          <w:color w:val="auto"/>
          <w:sz w:val="24"/>
          <w:szCs w:val="24"/>
        </w:rPr>
        <w:t xml:space="preserve"> brasileira reza que todos tem o direito a um meio ambiente equilibrado, bem de uso comum do povo e essencial à sadia qualidade de vida</w:t>
      </w:r>
      <w:r w:rsidR="00D02746" w:rsidRPr="004E57FD">
        <w:rPr>
          <w:rFonts w:ascii="Times New Roman" w:hAnsi="Times New Roman"/>
          <w:color w:val="auto"/>
          <w:sz w:val="24"/>
          <w:szCs w:val="24"/>
        </w:rPr>
        <w:t xml:space="preserve"> e que isso é responsabilidade do poder público e da sociedade civil e que APA é uma UC de uso sustentável criada para garantir a qualidade de vida das populações que nela vivem (ou usam os recursos)</w:t>
      </w:r>
      <w:r w:rsidR="00776EDE" w:rsidRPr="004E57FD">
        <w:rPr>
          <w:rFonts w:ascii="Times New Roman" w:hAnsi="Times New Roman"/>
          <w:color w:val="auto"/>
          <w:sz w:val="24"/>
          <w:szCs w:val="24"/>
        </w:rPr>
        <w:t xml:space="preserve">. Nesse sentido, esclareceu que o gestor público ambiental está sempre no </w:t>
      </w:r>
      <w:r w:rsidR="00D02746" w:rsidRPr="004E57FD">
        <w:rPr>
          <w:rFonts w:ascii="Times New Roman" w:hAnsi="Times New Roman"/>
          <w:color w:val="auto"/>
          <w:sz w:val="24"/>
          <w:szCs w:val="24"/>
        </w:rPr>
        <w:t>“fio da navalha”</w:t>
      </w:r>
      <w:r w:rsidR="00776EDE" w:rsidRPr="004E57FD">
        <w:rPr>
          <w:rFonts w:ascii="Times New Roman" w:hAnsi="Times New Roman"/>
          <w:color w:val="auto"/>
          <w:sz w:val="24"/>
          <w:szCs w:val="24"/>
        </w:rPr>
        <w:t xml:space="preserve"> entre o que é ambientalmente adequado e o que é </w:t>
      </w:r>
      <w:r w:rsidR="00D02746" w:rsidRPr="004E57FD">
        <w:rPr>
          <w:rFonts w:ascii="Times New Roman" w:hAnsi="Times New Roman"/>
          <w:color w:val="auto"/>
          <w:sz w:val="24"/>
          <w:szCs w:val="24"/>
        </w:rPr>
        <w:t xml:space="preserve">essencial </w:t>
      </w:r>
      <w:proofErr w:type="gramStart"/>
      <w:r w:rsidR="00D02746" w:rsidRPr="004E57FD">
        <w:rPr>
          <w:rFonts w:ascii="Times New Roman" w:hAnsi="Times New Roman"/>
          <w:color w:val="auto"/>
          <w:sz w:val="24"/>
          <w:szCs w:val="24"/>
        </w:rPr>
        <w:t>a</w:t>
      </w:r>
      <w:proofErr w:type="gramEnd"/>
      <w:r w:rsidR="00D02746" w:rsidRPr="004E57FD">
        <w:rPr>
          <w:rFonts w:ascii="Times New Roman" w:hAnsi="Times New Roman"/>
          <w:color w:val="auto"/>
          <w:sz w:val="24"/>
          <w:szCs w:val="24"/>
        </w:rPr>
        <w:t xml:space="preserve"> qualidade de vida das populações.</w:t>
      </w:r>
    </w:p>
    <w:p w:rsidR="00DE591E" w:rsidRPr="00B559DA" w:rsidRDefault="00E2433E">
      <w:pPr>
        <w:pStyle w:val="Padro"/>
        <w:numPr>
          <w:ilvl w:val="0"/>
          <w:numId w:val="2"/>
        </w:numPr>
        <w:tabs>
          <w:tab w:val="left" w:pos="1189"/>
          <w:tab w:val="left" w:pos="1670"/>
          <w:tab w:val="left" w:pos="2151"/>
          <w:tab w:val="left" w:pos="2405"/>
          <w:tab w:val="left" w:pos="2632"/>
          <w:tab w:val="left" w:pos="2863"/>
        </w:tabs>
        <w:spacing w:after="142"/>
        <w:ind w:left="481" w:hanging="469"/>
        <w:jc w:val="both"/>
        <w:rPr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Dando início ao tema seguinte da pauta, o analista ambiental do ICMBIO Eduardo Almeida informou a plenária sobre o processo de renovação dos conselheiros, previsto para a próxima reunião do CONAPAC, apresentando gráficos e tabelas referentes à frequência dos conselheiros nas reuniões anteriores e à lista de entidades que ultrapassaram </w:t>
      </w:r>
      <w:proofErr w:type="gramStart"/>
      <w:r>
        <w:rPr>
          <w:rFonts w:ascii="Times New Roman" w:hAnsi="Times New Roman"/>
          <w:sz w:val="24"/>
          <w:szCs w:val="24"/>
        </w:rPr>
        <w:t>os limites de ausências previsto no regimento interno</w:t>
      </w:r>
      <w:proofErr w:type="gramEnd"/>
      <w:r>
        <w:rPr>
          <w:rFonts w:ascii="Times New Roman" w:hAnsi="Times New Roman"/>
          <w:sz w:val="24"/>
          <w:szCs w:val="24"/>
        </w:rPr>
        <w:t xml:space="preserve">: ATCA; MOVIDA; SEMARH e IMA; Prefeituras Municipais de São José da Coroa Grande e de Tamandaré; Prefeituras Municipais de São Miguel dos Milagres e de Porto de Pedras; </w:t>
      </w:r>
    </w:p>
    <w:p w:rsidR="00DE591E" w:rsidRDefault="00E2433E">
      <w:pPr>
        <w:pStyle w:val="Padro"/>
        <w:tabs>
          <w:tab w:val="left" w:pos="1189"/>
          <w:tab w:val="left" w:pos="1670"/>
          <w:tab w:val="left" w:pos="2151"/>
          <w:tab w:val="left" w:pos="2405"/>
          <w:tab w:val="left" w:pos="2632"/>
          <w:tab w:val="left" w:pos="2863"/>
        </w:tabs>
        <w:spacing w:after="142"/>
        <w:ind w:left="481" w:hanging="469"/>
        <w:jc w:val="both"/>
      </w:pPr>
      <w:r>
        <w:rPr>
          <w:rFonts w:ascii="Times New Roman" w:hAnsi="Times New Roman"/>
          <w:sz w:val="24"/>
          <w:szCs w:val="24"/>
        </w:rPr>
        <w:t xml:space="preserve">a) Eduardo Almeida também informou que a equipe técnica da APACC irá encaminhar ofício para cadastramento de entidades do poder público e da sociedade </w:t>
      </w:r>
      <w:proofErr w:type="gramStart"/>
      <w:r>
        <w:rPr>
          <w:rFonts w:ascii="Times New Roman" w:hAnsi="Times New Roman"/>
          <w:sz w:val="24"/>
          <w:szCs w:val="24"/>
        </w:rPr>
        <w:t>civil interessadas</w:t>
      </w:r>
      <w:proofErr w:type="gramEnd"/>
      <w:r>
        <w:rPr>
          <w:rFonts w:ascii="Times New Roman" w:hAnsi="Times New Roman"/>
          <w:sz w:val="24"/>
          <w:szCs w:val="24"/>
        </w:rPr>
        <w:t xml:space="preserve"> em compor este Conselho, destacando os procedimentos necessários para cada grupo, e que o prazo para entrega dos formulários é de 30 dias antes da próxima reunião:</w:t>
      </w:r>
    </w:p>
    <w:p w:rsidR="00DE591E" w:rsidRDefault="00E2433E">
      <w:pPr>
        <w:pStyle w:val="Padro"/>
        <w:tabs>
          <w:tab w:val="left" w:pos="1189"/>
          <w:tab w:val="left" w:pos="1670"/>
          <w:tab w:val="left" w:pos="1924"/>
          <w:tab w:val="left" w:pos="2151"/>
          <w:tab w:val="left" w:pos="2405"/>
          <w:tab w:val="left" w:pos="2632"/>
          <w:tab w:val="left" w:pos="2863"/>
        </w:tabs>
        <w:spacing w:after="142"/>
        <w:ind w:left="481" w:hanging="23"/>
        <w:jc w:val="both"/>
      </w:pPr>
      <w:r>
        <w:rPr>
          <w:rFonts w:ascii="Times New Roman" w:hAnsi="Times New Roman"/>
          <w:sz w:val="24"/>
          <w:szCs w:val="24"/>
        </w:rPr>
        <w:t>- Poder Público: precisa encaminhar ofício indicando intenção de integrar o CONAPAC, indicando os representantes;</w:t>
      </w:r>
    </w:p>
    <w:p w:rsidR="00DE591E" w:rsidRDefault="00E2433E">
      <w:pPr>
        <w:pStyle w:val="Padro"/>
        <w:tabs>
          <w:tab w:val="left" w:pos="1189"/>
          <w:tab w:val="left" w:pos="1670"/>
          <w:tab w:val="left" w:pos="1924"/>
          <w:tab w:val="left" w:pos="2151"/>
          <w:tab w:val="left" w:pos="2405"/>
          <w:tab w:val="left" w:pos="2632"/>
          <w:tab w:val="left" w:pos="2863"/>
        </w:tabs>
        <w:spacing w:after="142"/>
        <w:ind w:left="481" w:hanging="23"/>
        <w:jc w:val="both"/>
      </w:pPr>
      <w:r>
        <w:rPr>
          <w:rFonts w:ascii="Times New Roman" w:hAnsi="Times New Roman"/>
          <w:sz w:val="24"/>
          <w:szCs w:val="24"/>
        </w:rPr>
        <w:lastRenderedPageBreak/>
        <w:t>- Sociedade Civil: deve enviar ofício expondo o interesse de compor o Conselho, com formulário de cadastramento, documentação autenticada (CNPJ, Comprovante de situação cadastral na Receita Federal e cópia do estatuto da entidade), breve histórico da instituição, descrição da relação com a gestão da APACC e informação sobre o segmento em que está inserida.</w:t>
      </w:r>
    </w:p>
    <w:p w:rsidR="00DE591E" w:rsidRDefault="00E2433E">
      <w:pPr>
        <w:pStyle w:val="Padro"/>
        <w:spacing w:after="142"/>
        <w:ind w:left="44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Ao lembrar que já há uma vaga disponível no Conselho para entidades do Poder Público, que pertencia </w:t>
      </w:r>
      <w:r w:rsidRPr="00D02746">
        <w:rPr>
          <w:rFonts w:ascii="Times New Roman" w:hAnsi="Times New Roman" w:cs="Times New Roman"/>
          <w:sz w:val="24"/>
          <w:szCs w:val="24"/>
        </w:rPr>
        <w:t xml:space="preserve">a </w:t>
      </w:r>
      <w:r w:rsidRPr="00D02746">
        <w:rPr>
          <w:rFonts w:ascii="Times New Roman" w:hAnsi="Times New Roman" w:cs="Times New Roman"/>
        </w:rPr>
        <w:t>Secretaria de Turismo</w:t>
      </w:r>
      <w:r>
        <w:rPr>
          <w:rFonts w:ascii="Times New Roman" w:hAnsi="Times New Roman"/>
          <w:sz w:val="24"/>
          <w:szCs w:val="24"/>
        </w:rPr>
        <w:t>, Eduardo Almeida explicou que além de cumprir com os procedimentos necessários para o cadastramento, as entidades interessadas em compor o CONAPAC deverão defender sua candidatura perante a plenária na próxima reunião, informando que os interessados terão cinco minutos para fazer sua apresentação e que devem se concentrar nas informações do questionário.</w:t>
      </w:r>
    </w:p>
    <w:p w:rsidR="00DE591E" w:rsidRDefault="00E2433E">
      <w:pPr>
        <w:pStyle w:val="Padro"/>
        <w:numPr>
          <w:ilvl w:val="0"/>
          <w:numId w:val="3"/>
        </w:numPr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 xml:space="preserve">O 5° tópico da pauta tratava do Projeto do Guia da Biodiversidade da APACC, que está sendo elaborado pela UFPE e por outros especialistas. A apresentação da proposta coube ao convidado João Lucas Feitosa, que falou da importância desse material para a divulgação da riqueza de vida marinha da região e para ser usado como ferramenta de educação ambiental nos municípios. Ele descreveu a estrutura do material, as fases do projeto que já foram realizadas e o orçamento, de R$ </w:t>
      </w:r>
      <w:proofErr w:type="gramStart"/>
      <w:r>
        <w:rPr>
          <w:rFonts w:ascii="Times New Roman" w:hAnsi="Times New Roman"/>
          <w:sz w:val="24"/>
          <w:szCs w:val="24"/>
        </w:rPr>
        <w:t>23.600,00 ,</w:t>
      </w:r>
      <w:proofErr w:type="gramEnd"/>
      <w:r>
        <w:rPr>
          <w:rFonts w:ascii="Times New Roman" w:hAnsi="Times New Roman"/>
          <w:sz w:val="24"/>
          <w:szCs w:val="24"/>
        </w:rPr>
        <w:t xml:space="preserve"> necessário para impressão dos 1.000 exemplares, que serão distribuídos na APACC;</w:t>
      </w:r>
    </w:p>
    <w:p w:rsidR="00DE591E" w:rsidRDefault="00E2433E">
      <w:pPr>
        <w:pStyle w:val="Padro"/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>a) Paulo Roberto explicou que em 2013 não há orçamento disponível para essa finalidade, mas expôs o total interesse da APA</w:t>
      </w:r>
      <w:r w:rsidR="002F3430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C em apoiar iniciativas como essa;</w:t>
      </w:r>
    </w:p>
    <w:p w:rsidR="00DE591E" w:rsidRDefault="00E2433E">
      <w:pPr>
        <w:pStyle w:val="Padro"/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 xml:space="preserve">b) Danilo Marx e Flávia Rego destacaram a carência de publicações com informações sobre a biodiversidade local, lembrando que os materiais disponíveis tratam da fauna </w:t>
      </w:r>
      <w:proofErr w:type="spellStart"/>
      <w:r>
        <w:rPr>
          <w:rFonts w:ascii="Times New Roman" w:hAnsi="Times New Roman"/>
          <w:sz w:val="24"/>
          <w:szCs w:val="24"/>
        </w:rPr>
        <w:t>recifal</w:t>
      </w:r>
      <w:proofErr w:type="spellEnd"/>
      <w:r>
        <w:rPr>
          <w:rFonts w:ascii="Times New Roman" w:hAnsi="Times New Roman"/>
          <w:sz w:val="24"/>
          <w:szCs w:val="24"/>
        </w:rPr>
        <w:t xml:space="preserve"> de outras regiões;</w:t>
      </w:r>
    </w:p>
    <w:p w:rsidR="00DE591E" w:rsidRDefault="00E2433E">
      <w:pPr>
        <w:pStyle w:val="Padro"/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 xml:space="preserve">c) Outros conselheiros como Bruno </w:t>
      </w:r>
      <w:proofErr w:type="spellStart"/>
      <w:r>
        <w:rPr>
          <w:rFonts w:ascii="Times New Roman" w:hAnsi="Times New Roman"/>
          <w:sz w:val="24"/>
          <w:szCs w:val="24"/>
        </w:rPr>
        <w:t>Stefanis</w:t>
      </w:r>
      <w:proofErr w:type="spellEnd"/>
      <w:r>
        <w:rPr>
          <w:rFonts w:ascii="Times New Roman" w:hAnsi="Times New Roman"/>
          <w:sz w:val="24"/>
          <w:szCs w:val="24"/>
        </w:rPr>
        <w:t xml:space="preserve">, Iran </w:t>
      </w:r>
      <w:proofErr w:type="spellStart"/>
      <w:r>
        <w:rPr>
          <w:rFonts w:ascii="Times New Roman" w:hAnsi="Times New Roman"/>
          <w:sz w:val="24"/>
          <w:szCs w:val="24"/>
        </w:rPr>
        <w:t>Normande</w:t>
      </w:r>
      <w:proofErr w:type="spellEnd"/>
      <w:r>
        <w:rPr>
          <w:rFonts w:ascii="Times New Roman" w:hAnsi="Times New Roman"/>
          <w:sz w:val="24"/>
          <w:szCs w:val="24"/>
        </w:rPr>
        <w:t>, Karine Magalhães e João Cândido Nogueira concordaram que o CONAPAC não é o espaço mais adequado para decidir sobre financiamento a projetos e sugeriram ao ICMBIO a abertura de um edital para produção do guia de biodiversidade da APACC para que outras entidades, que também atuem na região, possam concorrer;</w:t>
      </w:r>
    </w:p>
    <w:p w:rsidR="00DE591E" w:rsidRDefault="00E2433E">
      <w:pPr>
        <w:pStyle w:val="Padro"/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 xml:space="preserve">d) Marcelo </w:t>
      </w:r>
      <w:proofErr w:type="spellStart"/>
      <w:r>
        <w:rPr>
          <w:rFonts w:ascii="Times New Roman" w:hAnsi="Times New Roman"/>
          <w:sz w:val="24"/>
          <w:szCs w:val="24"/>
        </w:rPr>
        <w:t>Françozo</w:t>
      </w:r>
      <w:proofErr w:type="spellEnd"/>
      <w:r>
        <w:rPr>
          <w:rFonts w:ascii="Times New Roman" w:hAnsi="Times New Roman"/>
          <w:sz w:val="24"/>
          <w:szCs w:val="24"/>
        </w:rPr>
        <w:t xml:space="preserve"> destacou ser necessária a definição de uma metodologia para financiamento de projetos na APACC, acrescentando que a unidade pode elaborar uma carta de recomendação para auxiliar na captação de recursos;</w:t>
      </w:r>
    </w:p>
    <w:p w:rsidR="00DE591E" w:rsidRDefault="00E2433E">
      <w:pPr>
        <w:pStyle w:val="Padro"/>
        <w:tabs>
          <w:tab w:val="left" w:pos="916"/>
          <w:tab w:val="left" w:pos="1166"/>
          <w:tab w:val="left" w:pos="1374"/>
        </w:tabs>
        <w:spacing w:after="142"/>
        <w:ind w:left="458" w:hanging="458"/>
        <w:jc w:val="both"/>
      </w:pPr>
      <w:r>
        <w:rPr>
          <w:rFonts w:ascii="Times New Roman" w:hAnsi="Times New Roman"/>
          <w:sz w:val="24"/>
          <w:szCs w:val="24"/>
        </w:rPr>
        <w:t>e) Como encaminhamento desse tópico, foi decidido que a APACC irá preparar uma carta de recomendação para ajudar a equipe de pesquisadores na captação dos recursos necessários para publicação do material.</w:t>
      </w:r>
    </w:p>
    <w:p w:rsidR="00DE591E" w:rsidRDefault="00E2433E">
      <w:pPr>
        <w:pStyle w:val="Padro"/>
        <w:numPr>
          <w:ilvl w:val="0"/>
          <w:numId w:val="3"/>
        </w:numPr>
        <w:tabs>
          <w:tab w:val="left" w:pos="894"/>
          <w:tab w:val="left" w:pos="1155"/>
          <w:tab w:val="left" w:pos="1329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t xml:space="preserve">Por solicitação do conselheiro Gandhi Gouveia, a plenária concedeu um espaço no final da reunião para apresentação da proposta de saneamento do rios </w:t>
      </w:r>
      <w:proofErr w:type="spellStart"/>
      <w:r>
        <w:rPr>
          <w:rFonts w:ascii="Times New Roman" w:hAnsi="Times New Roman"/>
          <w:sz w:val="24"/>
          <w:szCs w:val="24"/>
        </w:rPr>
        <w:t>Manguaba</w:t>
      </w:r>
      <w:proofErr w:type="spellEnd"/>
      <w:r>
        <w:rPr>
          <w:rFonts w:ascii="Times New Roman" w:hAnsi="Times New Roman"/>
          <w:sz w:val="24"/>
          <w:szCs w:val="24"/>
        </w:rPr>
        <w:t xml:space="preserve"> e Camaragibe, que propõe a melhoria das condições ambientais desses estuários e o incremento do turismo na região. O representante da Prefeitura Municipal de São Miguel dos Milagres informou as etapas do projeto, o cronograma de ações e as parcerias estabelecidas e informou que a proposta encontra-se em fase de articulação.</w:t>
      </w:r>
    </w:p>
    <w:p w:rsidR="00DE591E" w:rsidRDefault="00E2433E">
      <w:pPr>
        <w:pStyle w:val="Padro"/>
        <w:numPr>
          <w:ilvl w:val="0"/>
          <w:numId w:val="3"/>
        </w:numPr>
        <w:tabs>
          <w:tab w:val="left" w:pos="894"/>
          <w:tab w:val="left" w:pos="1155"/>
          <w:tab w:val="left" w:pos="1329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O presidente do CONAPAC encerrou a plenária, agradecendo a participação de todos, e informando que a próxima reunião do Conselho será realizada no dia 19 de novembro, em </w:t>
      </w:r>
      <w:proofErr w:type="spellStart"/>
      <w:r>
        <w:rPr>
          <w:rFonts w:ascii="Times New Roman" w:hAnsi="Times New Roman"/>
          <w:sz w:val="24"/>
          <w:szCs w:val="24"/>
        </w:rPr>
        <w:t>Paripueira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E591E" w:rsidRDefault="00DE591E">
      <w:pPr>
        <w:pStyle w:val="Padro"/>
        <w:tabs>
          <w:tab w:val="left" w:pos="894"/>
          <w:tab w:val="left" w:pos="1155"/>
          <w:tab w:val="left" w:pos="1329"/>
        </w:tabs>
        <w:spacing w:after="142"/>
        <w:ind w:left="447" w:hanging="447"/>
        <w:jc w:val="both"/>
      </w:pPr>
    </w:p>
    <w:p w:rsidR="00DE591E" w:rsidRDefault="00E2433E">
      <w:pPr>
        <w:pStyle w:val="Padro"/>
        <w:numPr>
          <w:ilvl w:val="0"/>
          <w:numId w:val="3"/>
        </w:numPr>
        <w:tabs>
          <w:tab w:val="left" w:pos="894"/>
          <w:tab w:val="left" w:pos="1155"/>
          <w:tab w:val="left" w:pos="1352"/>
        </w:tabs>
        <w:spacing w:after="142"/>
        <w:ind w:left="447" w:hanging="447"/>
        <w:jc w:val="both"/>
      </w:pPr>
      <w:r>
        <w:rPr>
          <w:rFonts w:ascii="Times New Roman" w:hAnsi="Times New Roman"/>
          <w:b/>
          <w:bCs/>
          <w:sz w:val="24"/>
          <w:szCs w:val="24"/>
        </w:rPr>
        <w:t>DELIBERAÇÕES:</w:t>
      </w:r>
    </w:p>
    <w:p w:rsidR="00DE591E" w:rsidRDefault="00E2433E">
      <w:pPr>
        <w:pStyle w:val="Padro"/>
        <w:tabs>
          <w:tab w:val="left" w:pos="894"/>
          <w:tab w:val="left" w:pos="1155"/>
          <w:tab w:val="left" w:pos="1352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t>A) Os conselheiros concordaram que o diagnóstico socioambiental da APACC, produzido pelo Projeto Recifes Costeiros em 2006, seja publicado como e-book pela UFPE e disponibilizado para download no site da unidade;</w:t>
      </w:r>
    </w:p>
    <w:p w:rsidR="00DE591E" w:rsidRDefault="00E2433E">
      <w:pPr>
        <w:pStyle w:val="Padro"/>
        <w:tabs>
          <w:tab w:val="left" w:pos="894"/>
          <w:tab w:val="left" w:pos="1155"/>
          <w:tab w:val="left" w:pos="1352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t>B) Os conselheiros solicitaram que a instrução normativa referente à proposta de adequação das Zonas de Visitação de Maragogi sejam encaminhadas para discussão nas câmaras técnicas;</w:t>
      </w:r>
    </w:p>
    <w:p w:rsidR="00DE591E" w:rsidRDefault="00E2433E">
      <w:pPr>
        <w:pStyle w:val="Padro"/>
        <w:tabs>
          <w:tab w:val="left" w:pos="894"/>
          <w:tab w:val="left" w:pos="1155"/>
          <w:tab w:val="left" w:pos="1352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t>C) Encaminhamento de ofício com formulário de cadastramento para manifestação de interesses de entidades do poder público e da sociedade civil em compor o CONAPAC;</w:t>
      </w:r>
    </w:p>
    <w:p w:rsidR="00DE591E" w:rsidRDefault="00E2433E">
      <w:pPr>
        <w:pStyle w:val="Padro"/>
        <w:tabs>
          <w:tab w:val="left" w:pos="894"/>
          <w:tab w:val="left" w:pos="1155"/>
          <w:tab w:val="left" w:pos="1352"/>
        </w:tabs>
        <w:spacing w:after="142"/>
        <w:ind w:left="447" w:hanging="447"/>
        <w:jc w:val="both"/>
      </w:pPr>
      <w:r>
        <w:rPr>
          <w:rFonts w:ascii="Times New Roman" w:hAnsi="Times New Roman"/>
          <w:sz w:val="24"/>
          <w:szCs w:val="24"/>
        </w:rPr>
        <w:t>D) O ICMBIO irá elaborar uma carta de recomendação para auxiliar a equipe responsável pela produção do Guia da Biodiversidade da APACC na captação de recursos para viabilizar a publicação do material.</w:t>
      </w:r>
    </w:p>
    <w:sectPr w:rsidR="00DE591E">
      <w:pgSz w:w="11906" w:h="16838"/>
      <w:pgMar w:top="1134" w:right="1417" w:bottom="1134" w:left="1417" w:header="0" w:footer="0" w:gutter="0"/>
      <w:cols w:space="720"/>
      <w:formProt w:val="0"/>
      <w:docGrid w:linePitch="38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OldStyle-Bold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C31"/>
    <w:multiLevelType w:val="multilevel"/>
    <w:tmpl w:val="CD32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4ED09F2"/>
    <w:multiLevelType w:val="multilevel"/>
    <w:tmpl w:val="5A1E83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51683F"/>
    <w:multiLevelType w:val="multilevel"/>
    <w:tmpl w:val="084809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1938C4"/>
    <w:multiLevelType w:val="multilevel"/>
    <w:tmpl w:val="E236D558"/>
    <w:lvl w:ilvl="0">
      <w:start w:val="100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33420E"/>
    <w:multiLevelType w:val="multilevel"/>
    <w:tmpl w:val="9A9821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6086229"/>
    <w:multiLevelType w:val="hybridMultilevel"/>
    <w:tmpl w:val="C17C44A6"/>
    <w:lvl w:ilvl="0" w:tplc="B85079C4">
      <w:start w:val="1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9" w:hanging="360"/>
      </w:pPr>
    </w:lvl>
    <w:lvl w:ilvl="2" w:tplc="0416001B" w:tentative="1">
      <w:start w:val="1"/>
      <w:numFmt w:val="lowerRoman"/>
      <w:lvlText w:val="%3."/>
      <w:lvlJc w:val="right"/>
      <w:pPr>
        <w:ind w:left="2269" w:hanging="180"/>
      </w:pPr>
    </w:lvl>
    <w:lvl w:ilvl="3" w:tplc="0416000F" w:tentative="1">
      <w:start w:val="1"/>
      <w:numFmt w:val="decimal"/>
      <w:lvlText w:val="%4."/>
      <w:lvlJc w:val="left"/>
      <w:pPr>
        <w:ind w:left="2989" w:hanging="360"/>
      </w:pPr>
    </w:lvl>
    <w:lvl w:ilvl="4" w:tplc="04160019" w:tentative="1">
      <w:start w:val="1"/>
      <w:numFmt w:val="lowerLetter"/>
      <w:lvlText w:val="%5."/>
      <w:lvlJc w:val="left"/>
      <w:pPr>
        <w:ind w:left="3709" w:hanging="360"/>
      </w:pPr>
    </w:lvl>
    <w:lvl w:ilvl="5" w:tplc="0416001B" w:tentative="1">
      <w:start w:val="1"/>
      <w:numFmt w:val="lowerRoman"/>
      <w:lvlText w:val="%6."/>
      <w:lvlJc w:val="right"/>
      <w:pPr>
        <w:ind w:left="4429" w:hanging="180"/>
      </w:pPr>
    </w:lvl>
    <w:lvl w:ilvl="6" w:tplc="0416000F" w:tentative="1">
      <w:start w:val="1"/>
      <w:numFmt w:val="decimal"/>
      <w:lvlText w:val="%7."/>
      <w:lvlJc w:val="left"/>
      <w:pPr>
        <w:ind w:left="5149" w:hanging="360"/>
      </w:pPr>
    </w:lvl>
    <w:lvl w:ilvl="7" w:tplc="04160019" w:tentative="1">
      <w:start w:val="1"/>
      <w:numFmt w:val="lowerLetter"/>
      <w:lvlText w:val="%8."/>
      <w:lvlJc w:val="left"/>
      <w:pPr>
        <w:ind w:left="5869" w:hanging="360"/>
      </w:pPr>
    </w:lvl>
    <w:lvl w:ilvl="8" w:tplc="0416001B" w:tentative="1">
      <w:start w:val="1"/>
      <w:numFmt w:val="lowerRoman"/>
      <w:lvlText w:val="%9."/>
      <w:lvlJc w:val="right"/>
      <w:pPr>
        <w:ind w:left="65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1E"/>
    <w:rsid w:val="001C0520"/>
    <w:rsid w:val="002F3430"/>
    <w:rsid w:val="004E57FD"/>
    <w:rsid w:val="006A41A1"/>
    <w:rsid w:val="006C32B6"/>
    <w:rsid w:val="00776EDE"/>
    <w:rsid w:val="007E3651"/>
    <w:rsid w:val="009A2B44"/>
    <w:rsid w:val="009D7EF2"/>
    <w:rsid w:val="00A0454E"/>
    <w:rsid w:val="00B559DA"/>
    <w:rsid w:val="00D02746"/>
    <w:rsid w:val="00DE591E"/>
    <w:rsid w:val="00E2433E"/>
    <w:rsid w:val="00ED2E97"/>
    <w:rsid w:val="00F8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6C32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2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2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32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2B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</w:pPr>
    <w:rPr>
      <w:rFonts w:ascii="Calibri" w:eastAsia="SimSun" w:hAnsi="Calibri" w:cs="Calibri"/>
      <w:color w:val="00000A"/>
      <w:lang w:eastAsia="en-US"/>
    </w:rPr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Mangal"/>
    </w:rPr>
  </w:style>
  <w:style w:type="paragraph" w:styleId="PargrafodaLista">
    <w:name w:val="List Paragraph"/>
    <w:basedOn w:val="Padro"/>
    <w:pPr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6C32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2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2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32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2B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2929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</dc:creator>
  <cp:lastModifiedBy>APACC</cp:lastModifiedBy>
  <cp:revision>3</cp:revision>
  <dcterms:created xsi:type="dcterms:W3CDTF">2013-11-19T13:26:00Z</dcterms:created>
  <dcterms:modified xsi:type="dcterms:W3CDTF">2013-11-19T13:43:00Z</dcterms:modified>
</cp:coreProperties>
</file>