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6C1360F5" w:rsidR="00F003C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D6597">
        <w:rPr>
          <w:rFonts w:ascii="Arial" w:hAnsi="Arial" w:cs="Arial"/>
          <w:sz w:val="24"/>
          <w:szCs w:val="24"/>
        </w:rPr>
        <w:t>Cenário: Renomeando colunas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624BD07C" w14:textId="794C83C0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os ajustes de nome de colunas na tabela Ocorrencias</w:t>
      </w:r>
      <w:r w:rsidR="00436F96">
        <w:rPr>
          <w:rFonts w:ascii="Arial" w:hAnsi="Arial" w:cs="Arial"/>
          <w:sz w:val="24"/>
          <w:szCs w:val="24"/>
        </w:rPr>
        <w:t xml:space="preserve"> (CISP-&gt;codDP / AISP-&gt;codBPM / mcirc -&gt; codMunicIBGE)</w:t>
      </w:r>
      <w:r>
        <w:rPr>
          <w:rFonts w:ascii="Arial" w:hAnsi="Arial" w:cs="Arial"/>
          <w:sz w:val="24"/>
          <w:szCs w:val="24"/>
        </w:rPr>
        <w:t>, renomeie as colunas das demais tabelas, seguindo padrão apresentado.</w:t>
      </w:r>
    </w:p>
    <w:p w14:paraId="03735749" w14:textId="737A15B4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uma vez identificadas as chaves </w:t>
      </w:r>
      <w:r w:rsidR="00CF5CDF">
        <w:rPr>
          <w:rFonts w:ascii="Arial" w:hAnsi="Arial" w:cs="Arial"/>
          <w:sz w:val="24"/>
          <w:szCs w:val="24"/>
        </w:rPr>
        <w:t>de relacionamento</w:t>
      </w:r>
      <w:r>
        <w:rPr>
          <w:rFonts w:ascii="Arial" w:hAnsi="Arial" w:cs="Arial"/>
          <w:sz w:val="24"/>
          <w:szCs w:val="24"/>
        </w:rPr>
        <w:t xml:space="preserve"> das demais tabelas, renomeie as colunas, para seguir o padrão do seu relacionamento com a tabela Ocorrencias.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C0ABC"/>
    <w:rsid w:val="002B256C"/>
    <w:rsid w:val="00332344"/>
    <w:rsid w:val="00436F96"/>
    <w:rsid w:val="00CF5CDF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4</cp:revision>
  <dcterms:created xsi:type="dcterms:W3CDTF">2021-11-08T17:51:00Z</dcterms:created>
  <dcterms:modified xsi:type="dcterms:W3CDTF">2022-03-29T18:57:00Z</dcterms:modified>
</cp:coreProperties>
</file>