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t xml:space="preserve">Relatório de Mutation Score</w:t>
      </w:r>
    </w:p>
    <w:p>
      <w:pPr>
        <w:spacing w:after="60"/>
      </w:pPr>
      <w:r>
        <w:rPr>
          <w:b/>
          <w:bCs/>
        </w:rPr>
        <w:t xml:space="preserve">Ferramenta: </w:t>
      </w:r>
      <w:r>
        <w:rPr/>
        <w:t xml:space="preserve">PITest 1.15.3 (+ pitest-junit5-plugin 1.2.1)</w:t>
      </w:r>
    </w:p>
    <w:p>
      <w:pPr>
        <w:spacing w:after="60"/>
      </w:pPr>
      <w:r>
        <w:rPr>
          <w:b/>
          <w:bCs/>
        </w:rPr>
        <w:t xml:space="preserve">Sistema: </w:t>
      </w:r>
      <w:r>
        <w:rPr/>
        <w:t xml:space="preserve">microservices-ecommerce (user, product, order, report)</w:t>
      </w:r>
    </w:p>
    <w:p>
      <w:pPr>
        <w:spacing w:after="150"/>
      </w:pPr>
      <w:r>
        <w:rPr>
          <w:b/>
        </w:rPr>
        <w:t>Critério medido:</w:t>
      </w:r>
      <w:r>
        <w:t xml:space="preserve"> quantos mutantes a suíte mata. Mutante é um defeito pequeno e proposital plantado no bytecode — inverter uma condição, trocar uma constante, apagar uma chamada — e ele morre quando algum teste quebra por causa dele.</w:t>
      </w:r>
    </w:p>
    <w:p>
      <w:pPr>
        <w:pStyle w:val="Heading2"/>
        <w:spacing w:after="150" w:before="300"/>
      </w:pPr>
      <w:r>
        <w:t xml:space="preserve">Resultado geral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6"/>
        <w:gridCol w:w="1600"/>
        <w:gridCol w:w="1600"/>
      </w:tblGrid>
      <w:tr>
        <w:trPr>
          <w:tblHeader/>
        </w:trPr>
        <w:tc>
          <w:tcPr>
            <w:tcW w:type="dxa" w:w="72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Mutantes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KILLED (detectado por algum teste)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188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89,5%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SURVIVED (alcançado, mas nenhum teste falhou)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10,0%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NO_COVERAGE (nunca alcançado por nenhum teste)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0,5%</w:t>
            </w:r>
          </w:p>
        </w:tc>
      </w:tr>
      <w:tr>
        <w:tc>
          <w:tcPr>
            <w:tcW w:type="dxa" w:w="7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gerado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rPr>
          <w:b/>
        </w:rPr>
        <w:t>Test Strength (mortos sobre alcançados, 188/209): 90,0%.</w:t>
      </w:r>
      <w:r>
        <w:t xml:space="preserve"> Como só um mutante do sistema inteiro ficou sem cobertura, score e test strength praticamente se encostam. Diferente do monólito, o que segura o número aqui não é teste faltando: é um resíduo concentrado e com explicação.</w:t>
      </w:r>
    </w:p>
    <w:p>
      <w:pPr>
        <w:spacing w:after="150"/>
      </w:pPr>
      <w:r>
        <w:rPr>
          <w:b/>
        </w:rPr>
        <w:t>Execuções (determinismo):</w:t>
      </w:r>
      <w:r>
        <w:t xml:space="preserve"> rodei duas vezes completas nos quatro serviços e deu igual nas duas — não só no total (44/50, 51/56, 69/75, 24/29), mas mutante a mutante, com a mesma lista de sobreviventes.</w:t>
      </w:r>
    </w:p>
    <w:p>
      <w:pPr>
        <w:pStyle w:val="Heading2"/>
        <w:spacing w:after="150" w:before="300"/>
      </w:pPr>
      <w:r>
        <w:t xml:space="preserve">Mutation score por serviço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6"/>
        <w:gridCol w:w="1800"/>
        <w:gridCol w:w="1600"/>
        <w:gridCol w:w="1900"/>
        <w:gridCol w:w="1900"/>
      </w:tblGrid>
      <w:tr>
        <w:trPr>
          <w:tblHeader/>
        </w:trPr>
        <w:tc>
          <w:tcPr>
            <w:tcW w:type="dxa" w:w="32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Serviço</w:t>
            </w:r>
          </w:p>
        </w:tc>
        <w:tc>
          <w:tcPr>
            <w:tcW w:type="dxa" w:w="1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Mortos</w:t>
            </w:r>
          </w:p>
        </w:tc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SURVIVED</w:t>
            </w:r>
          </w:p>
        </w:tc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NO_COVERAGE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order-service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69/75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92,0%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51/56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91,1%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user-service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44/50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88,0%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report-service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24/29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82,8%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pStyle w:val="Heading2"/>
        <w:spacing w:after="150" w:before="300"/>
      </w:pPr>
      <w:r>
        <w:t xml:space="preserve">Mutation score por pacote (agregado)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3000"/>
        <w:gridCol w:w="3000"/>
      </w:tblGrid>
      <w:tr>
        <w:trPr>
          <w:tblHeader/>
        </w:trPr>
        <w:tc>
          <w:tcPr>
            <w:tcW w:type="dxa" w:w="44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Pacote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Mortos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Score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48/48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43/43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controller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26/26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exception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23/23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dto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5/5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3/3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raiz (seeder)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3/3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37/58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63,8%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config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0/1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0,0%</w:t>
            </w:r>
          </w:p>
        </w:tc>
      </w:tr>
      <w:tr>
        <w:tc>
          <w:tcPr>
            <w:tcW w:type="dxa" w:w="44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Todo pacote com regra de negócio está em 100%. Os 22 que sobraram estão todos em security e config — e, dentro de security, só em SecurityConfig: o filtro JWT e o JwtService não deixaram nenhum sobrevivente.</w:t>
      </w:r>
    </w:p>
    <w:p>
      <w:pPr>
        <w:pStyle w:val="Heading2"/>
        <w:spacing w:after="150" w:before="300"/>
      </w:pPr>
      <w:r>
        <w:t xml:space="preserve">Os 22 mutantes que restam, documentados por categoria</w:t>
      </w:r>
    </w:p>
    <w:p>
      <w:pPr>
        <w:spacing w:after="150"/>
      </w:pPr>
      <w:r>
        <w:t>Não escondi nenhum. Todos são a mesma coisa: fiação de framework, que só morreria dentro de um @SpringBootTest completo — e aí o teste deixa de ser unitário e passa a testar o Spring, não o sistema.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6"/>
        <w:gridCol w:w="2000"/>
        <w:gridCol w:w="4600"/>
      </w:tblGrid>
      <w:tr>
        <w:trPr>
          <w:tblHeader/>
        </w:trPr>
        <w:tc>
          <w:tcPr>
            <w:tcW w:type="dxa" w:w="38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Classe / método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Ocorrências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Por que sobrevive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SecurityConfig#corsConfigurationSource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(4 por serviço)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Apagar setAllowedMethods/setAllowedHeaders/registerCorsConfiguration, ou devolver null, só aparece com uma requisição CORS de verdade atravessando a cadeia de filtros.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SecurityConfig#securityFilterChain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(1 por serviço)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Depende do HttpSecurity que o Spring monta; só existe de verdade com o contexto completo no ar.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SecurityConfig#passwordEncoder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(user-service)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@Bean que devolve um BCryptPasswordEncoder. Nos testes o UserService recebe o encoder mockado, então a fábrica em si nunca roda.</w:t>
            </w:r>
          </w:p>
        </w:tc>
      </w:tr>
      <w:tr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RestClientConfig#restClientBuilder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(order-service)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Único NO_COVERAGE do sistema. @Bean de infraestrutura que devolve o RestClient.Builder, e o ProductClient é testado com MockRestServiceServer, sem passar por aqui.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O monólito documenta essas duas primeiras categorias como resíduo aceito (ApplicationConfig#authenticationManager e SecurityConfig#securityFilterChain), citando Jia &amp; Harman (2011). A diferença é de quantidade, não de natureza: o que lá é 1 SecurityConfig aqui vira 4, porque cada serviço valida o token por conta própria e carrega a própria configuração de segurança. É o mesmo resíduo multiplicado por quatro pela arquitetura, e vale registrar isso na comparação.</w:t>
      </w:r>
    </w:p>
    <w:p>
      <w:pPr>
        <w:pStyle w:val="Heading2"/>
        <w:spacing w:after="150" w:before="300"/>
      </w:pPr>
      <w:r>
        <w:t xml:space="preserve">Histórico: o efeito de cada intervenção</w:t>
      </w:r>
    </w:p>
    <w:tbl>
      <w:tblPr>
        <w:tblW w:type="dxa" w:w="10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66"/>
        <w:gridCol w:w="1400"/>
        <w:gridCol w:w="1300"/>
        <w:gridCol w:w="1500"/>
        <w:gridCol w:w="1500"/>
      </w:tblGrid>
      <w:tr>
        <w:trPr>
          <w:tblHeader/>
        </w:trPr>
        <w:tc>
          <w:tcPr>
            <w:tcW w:type="dxa" w:w="526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Rodada</w:t>
            </w:r>
          </w:p>
        </w:tc>
        <w:tc>
          <w:tcPr>
            <w:tcW w:type="dxa" w:w="1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Mortos</w:t>
            </w:r>
          </w:p>
        </w:tc>
        <w:tc>
          <w:tcPr>
            <w:tcW w:type="dxa" w:w="1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Score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SURVIVED</w:t>
            </w:r>
          </w:p>
        </w:tc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NO_COVERAGE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Baseline (antes dos testes de controller/filtro/handler)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78/149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52,3%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55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os novos testes unitários, escopo antigo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113/149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75,8%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ampliar o escopo para todos os pacotes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170/210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81,0%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5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Após reforço dirigido pelos SURVIVED do PITest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188/210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89,5%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</w:tr>
    </w:tbl>
    <w:p>
      <w:pPr>
        <w:spacing w:after="60"/>
      </w:pPr>
      <w:r>
        <w:rPr/>
        <w:t xml:space="preserve"/>
      </w:r>
    </w:p>
    <w:p>
      <w:pPr>
        <w:spacing w:after="150"/>
      </w:pPr>
      <w:r>
        <w:t>A terceira linha é a mais interessante: ampliar o escopo levou o total de mutantes de 149 para 210 e, mesmo assim, o score subiu — os pacotes que estavam de fora (controller, exception, dto, client) já estavam bem testados. O salto final veio de usar a lista de sobreviventes como roteiro, que é para isso que a ferramenta serve: eles apontaram getters e caminhos felizes (findById, findAll) que os testes chamavam sem conferir nada do resultado.</w:t>
      </w:r>
    </w:p>
    <w:p>
      <w:pPr>
        <w:pStyle w:val="Heading2"/>
        <w:spacing w:after="150" w:before="300"/>
      </w:pPr>
      <w:r>
        <w:t xml:space="preserve">Mudança de configuração e por que ela foi necessária</w:t>
      </w:r>
    </w:p>
    <w:p>
      <w:pPr>
        <w:spacing w:after="150"/>
      </w:pPr>
      <w:r>
        <w:t>A configuração original media só três pacotes por serviço: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&lt;targetClasses&gt;</w:t>
        <w:br/>
        <w:t xml:space="preserve">    &lt;param&gt;com.tcc.order.entity.*&lt;/param&gt;</w:t>
        <w:br/>
        <w:t xml:space="preserve">    &lt;param&gt;com.tcc.order.service.*&lt;/param&gt;</w:t>
        <w:br/>
        <w:t xml:space="preserve">    &lt;param&gt;com.tcc.order.security.*&lt;/param&gt;</w:t>
        <w:br/>
        <w:t xml:space="preserve">&lt;/targetClasses&gt;</w:t>
      </w:r>
    </w:p>
    <w:p>
      <w:pPr>
        <w:spacing w:after="150"/>
      </w:pPr>
      <w:r>
        <w:t>Com isso, controller, dto, exception e client ficavam fora do score — e o monólito mede todos os pacotes da aplicação (o relatório dele traz users.controller, products.controller, users.dto e por aí). Comparar assim seria comparar universos diferentes, então igualei o escopo ao do monólito nos quatro serviços: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&lt;targetClasses&gt;</w:t>
        <w:br/>
        <w:t xml:space="preserve">    &lt;param&gt;com.tcc.order.*&lt;/param&gt;</w:t>
        <w:br/>
        <w:t xml:space="preserve">&lt;/targetClasses&gt;</w:t>
        <w:br/>
        <w:t xml:space="preserve">&lt;targetTests&gt;</w:t>
        <w:br/>
        <w:t xml:space="preserve">    &lt;param&gt;com.tcc.order.*&lt;/param&gt;</w:t>
        <w:br/>
        <w:t xml:space="preserve">&lt;/targetTests&gt;</w:t>
      </w:r>
    </w:p>
    <w:p>
      <w:pPr>
        <w:spacing w:after="150"/>
      </w:pPr>
      <w:r>
        <w:t>Ampliar targetTests tem um efeito colateral que vale conhecer: os testes de controller usam @WebMvcTest e sobem um contexto Spring parcial, então entram na fila para rodar contra mutante. Na prática o PITest só escolhe os testes que cobrem a linha mutada, e o custo ficou em 40 a 70 segundos por serviço. Dá para conviver.</w:t>
      </w:r>
    </w:p>
    <w:p>
      <w:pPr>
        <w:spacing w:after="150"/>
      </w:pPr>
      <w:r>
        <w:rPr>
          <w:b/>
        </w:rPr>
        <w:t>Divergência de versão em aberto:</w:t>
      </w:r>
      <w:r>
        <w:t xml:space="preserve"> o monólito foi medido com PITest 1.15.8 e estes serviços com 1.15.3, que é o que tem no repositório local. São versões da mesma linha e com o mesmo DEFAULTS de mutadores, mas o certo é igualar as duas antes de publicar os números lado a lado.</w:t>
      </w:r>
    </w:p>
    <w:p>
      <w:pPr>
        <w:pStyle w:val="Heading2"/>
        <w:spacing w:after="150" w:before="300"/>
      </w:pPr>
      <w:r>
        <w:t xml:space="preserve">Metodologia</w:t>
      </w:r>
    </w:p>
    <w:p>
      <w:pPr>
        <w:spacing w:after="150"/>
      </w:pPr>
      <w:r>
        <w:t>Diferente do JaCoCo, o PITest não está preso ao ciclo padrão do Maven: precisa do goal na mão. E o goal não compila nada — rodar ele sozinho mede a compilação anterior e devolve, sem avisar, um resultado velho. A ordem é: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cd &lt;servico&gt;</w:t>
        <w:br/>
        <w:t xml:space="preserve">mvn test                                        # compila e roda a suíte</w:t>
        <w:br/>
        <w:t xml:space="preserve">mvn org.pitest:pitest-maven:mutationCoverage    # mede sobre o que acabou de compilar</w:t>
        <w:br/>
        <w:t xml:space="preserve"># relatório em target/pit-reports/index.html</w:t>
      </w:r>
    </w:p>
    <w:p>
      <w:pPr>
        <w:spacing w:after="150"/>
      </w:pPr>
      <w:r>
        <w:t>A configuração fica no pom.xml de cada serviço, com mutadores DEFAULTS e saída em XML e HTML.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auto"/>
      <w:sz w:val="32"/>
      <w:szCs w:val="32"/>
    </w:rPr>
  </w:style>
  <w:style w:type="paragraph" w:styleId="Heading2">
    <w:name w:val="Heading 2"/>
    <w:basedOn w:val="Normal"/>
    <w:next w:val="Normal"/>
    <w:qFormat/>
    <w:rPr>
      <w:color w:val="auto"/>
      <w:sz w:val="26"/>
      <w:szCs w:val="26"/>
    </w:rPr>
  </w:style>
  <w:style w:type="paragraph" w:styleId="Heading3">
    <w:name w:val="Heading 3"/>
    <w:basedOn w:val="Normal"/>
    <w:next w:val="Normal"/>
    <w:qFormat/>
    <w:rPr>
      <w:color w:val="auto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auto"/>
    </w:rPr>
  </w:style>
  <w:style w:type="paragraph" w:styleId="Heading5">
    <w:name w:val="Heading 5"/>
    <w:basedOn w:val="Normal"/>
    <w:next w:val="Normal"/>
    <w:qFormat/>
    <w:rPr>
      <w:color w:val="auto"/>
    </w:rPr>
  </w:style>
  <w:style w:type="paragraph" w:styleId="Heading6">
    <w:name w:val="Heading 6"/>
    <w:basedOn w:val="Normal"/>
    <w:next w:val="Normal"/>
    <w:qFormat/>
    <w:rPr>
      <w:color w:val="auto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uto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2026-08-21T22:54:46.921Z</dcterms:created>
  <dcterms:modified xsi:type="dcterms:W3CDTF">2026-08-21T22:54:46.921Z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