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t xml:space="preserve">Relatório de Testes Unitários (JUnit 5 + Mockito)</w:t>
      </w:r>
    </w:p>
    <w:p>
      <w:pPr>
        <w:spacing w:after="60"/>
      </w:pPr>
      <w:r>
        <w:rPr>
          <w:b/>
          <w:bCs/>
        </w:rPr>
        <w:t xml:space="preserve">Ferramentas: </w:t>
      </w:r>
      <w:r>
        <w:rPr/>
        <w:t xml:space="preserve">JUnit 5 (Jupiter) + Mockito 5 + AssertJ; Spring Boot Test (MockMvc / @WebMvcTest) e MockRestServiceServer para os clients HTTP</w:t>
      </w:r>
    </w:p>
    <w:p>
      <w:pPr>
        <w:spacing w:after="60"/>
      </w:pPr>
      <w:r>
        <w:rPr>
          <w:b/>
          <w:bCs/>
        </w:rPr>
        <w:t xml:space="preserve">Sistema: </w:t>
      </w:r>
      <w:r>
        <w:rPr/>
        <w:t xml:space="preserve">microservices-ecommerce (user, product, order, report)</w:t>
      </w:r>
    </w:p>
    <w:p>
      <w:pPr>
        <w:spacing w:after="150"/>
      </w:pPr>
      <w:r>
        <w:rPr>
          <w:b/>
        </w:rPr>
        <w:t>Critério medido:</w:t>
      </w:r>
      <w:r>
        <w:t xml:space="preserve"> quantos testes existem e como eles se distribuem por serviço e por camada. Cada serviço roda a própria suíte, sem classpath, banco ou contexto compartilhado com os outros.</w:t>
      </w:r>
    </w:p>
    <w:p>
      <w:pPr>
        <w:pStyle w:val="Heading2"/>
        <w:spacing w:after="150" w:before="300"/>
      </w:pPr>
      <w:r>
        <w:t xml:space="preserve">Resultado geral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6"/>
        <w:gridCol w:w="2000"/>
        <w:gridCol w:w="2100"/>
        <w:gridCol w:w="2100"/>
      </w:tblGrid>
      <w:tr>
        <w:trPr>
          <w:tblHeader/>
        </w:trPr>
        <w:tc>
          <w:tcPr>
            <w:tcW w:type="dxa" w:w="42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Serviço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Antes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Depois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Acréscimo</w:t>
            </w:r>
          </w:p>
        </w:tc>
      </w:tr>
      <w:tr>
        <w:tc>
          <w:tcPr>
            <w:tcW w:type="dxa" w:w="4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+30</w:t>
            </w:r>
          </w:p>
        </w:tc>
      </w:tr>
      <w:tr>
        <w:tc>
          <w:tcPr>
            <w:tcW w:type="dxa" w:w="4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product-service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+39</w:t>
            </w:r>
          </w:p>
        </w:tc>
      </w:tr>
      <w:tr>
        <w:tc>
          <w:tcPr>
            <w:tcW w:type="dxa" w:w="4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+40</w:t>
            </w:r>
          </w:p>
        </w:tc>
      </w:tr>
      <w:tr>
        <w:tc>
          <w:tcPr>
            <w:tcW w:type="dxa" w:w="4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report-service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+9</w:t>
            </w:r>
          </w:p>
        </w:tc>
      </w:tr>
      <w:tr>
        <w:tc>
          <w:tcPr>
            <w:tcW w:type="dxa" w:w="4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+118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spacing w:after="150"/>
      </w:pPr>
      <w:r>
        <w:t>Os 215 passam. Como cada serviço é um módulo Maven separado, não existe suíte agregada: o total é a soma de quatro mvn test independentes.</w:t>
      </w:r>
    </w:p>
    <w:p>
      <w:pPr>
        <w:pStyle w:val="Heading2"/>
        <w:spacing w:after="150" w:before="300"/>
      </w:pPr>
      <w:r>
        <w:t xml:space="preserve">Composição por camada</w:t>
      </w:r>
    </w:p>
    <w:p>
      <w:pPr>
        <w:spacing w:after="150"/>
      </w:pPr>
      <w:r>
        <w:t>A distribuição é a de uma pirâmide saudável para esse tipo de sistema: o grosso em regra de negócio (service e entity) e na borda HTTP, com o mínimo de verificação estrutural.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6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controller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entity / domínio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 (filtro + JWT)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exception (handler)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HTTP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architecture (ArchUnit)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seeder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215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pStyle w:val="Heading2"/>
        <w:spacing w:after="150" w:before="300"/>
      </w:pPr>
      <w:r>
        <w:t xml:space="preserve">Decisões de teste que valem registro</w:t>
      </w:r>
    </w:p>
    <w:p>
      <w:pPr>
        <w:spacing w:after="150"/>
      </w:pPr>
      <w:r>
        <w:rPr>
          <w:b/>
        </w:rPr>
        <w:t>Identidade vem do token, nunca do corpo da requisição.</w:t>
      </w:r>
      <w:r>
        <w:t xml:space="preserve"> É a regra mais sensível do desenho distribuído: o order-service cria pedido com o userId que veio do JWT, e repassa o header Authorization original para o product-service. Testar isso num slice de controller esbarra num detalhe chato: @WithMockUser injeta uma String como principal, e os controllers esperam @AuthenticationPrincipal AuthenticatedPrincipal. Resolvi com um helper que monta o SecurityContext do mesmo jeito que o filtro JWT montaria: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private static RequestPostProcessor as(Long userId, String role) {</w:t>
        <w:br/>
        <w:t xml:space="preserve">    var principal = new AuthenticatedPrincipal(userId, "usuario@tcc.com", role);</w:t>
        <w:br/>
        <w:t xml:space="preserve">    return authentication(new UsernamePasswordAuthenticationToken(</w:t>
        <w:br/>
        <w:t xml:space="preserve">            principal, null, List.of(new SimpleGrantedAuthority("ROLE_" + role))));</w:t>
        <w:br/>
        <w:t xml:space="preserve">}</w:t>
      </w:r>
    </w:p>
    <w:p>
      <w:pPr>
        <w:spacing w:after="150"/>
      </w:pPr>
      <w:r>
        <w:t>Aí o teste consegue afirmar mais que o status HTTP: que o service foi chamado com o id do usuário autenticado e com o token certo. Só olhando status, isso passaria batido.</w:t>
      </w:r>
    </w:p>
    <w:p>
      <w:pPr>
        <w:spacing w:after="150"/>
      </w:pPr>
      <w:r>
        <w:rPr>
          <w:b/>
        </w:rPr>
        <w:t>O filtro JWT é testado sem contexto Spring.</w:t>
      </w:r>
      <w:r>
        <w:t xml:space="preserve"> O JwtAuthenticationFilter é a porta de entrada da autenticação stateless dos quatro serviços — o arquivo é o mesmo em todos, muda só o package. Como é um OncePerRequestFilter comum, dá para exercitar com Mockito puro e MockHttpServletRequest, sem subir aplicação. Os seis testes fecham o contrato inteiro: a cadeia sempre segue (quem barra é o SecurityFilterChain, olhando o contexto que o filtro preencheu ou não); só autentica com header presente, prefixo "Bearer " e token válido; e a role da claim vira authority com o ROLE_ que o hasRole() exige.</w:t>
      </w:r>
    </w:p>
    <w:p>
      <w:pPr>
        <w:spacing w:after="150"/>
      </w:pPr>
      <w:r>
        <w:rPr>
          <w:b/>
        </w:rPr>
        <w:t>Os handlers de exceção são chamados direto.</w:t>
      </w:r>
      <w:r>
        <w:t xml:space="preserve"> Testar o GlobalExceptionHandler por HTTP só alcança o que um controller consegue provocar. Chamando os métodos na mão — com MethodArgumentNotValidException mockado sobre um BeanPropertyBindingResult de verdade — dá para fixar o contrato "exceção de domínio → status + corpo" até nos casos que nenhum teste de controller chega, como a falha de comunicação com o product-service virando 502.</w:t>
      </w:r>
    </w:p>
    <w:p>
      <w:pPr>
        <w:spacing w:after="150"/>
      </w:pPr>
      <w:r>
        <w:rPr>
          <w:b/>
        </w:rPr>
        <w:t>Os clients HTTP usam MockRestServiceServer.</w:t>
      </w:r>
      <w:r>
        <w:t xml:space="preserve"> ProductClient e OrderClient são o único lugar onde um serviço enxerga outro. Com o MockRestServiceServer dá para afirmar o que importa nessa fronteira: a URL montada, o verbo, o corpo enviado, o repasse do header Authorization e a tradução de cada erro remoto na exceção de domínio certa (404 → ProductNotFoundException, 422 → InsufficientStockException, 5xx → ProductServiceUnavailableException).</w:t>
      </w:r>
    </w:p>
    <w:p>
      <w:pPr>
        <w:pStyle w:val="Heading2"/>
        <w:spacing w:after="150" w:before="300"/>
      </w:pPr>
      <w:r>
        <w:t xml:space="preserve">O que ficou deliberadamente de fora</w:t>
      </w:r>
    </w:p>
    <w:p>
      <w:pPr>
        <w:spacing w:after="150"/>
      </w:pPr>
      <w:r>
        <w:t>Duas coisas ficaram sem teste unitário, pelo mesmo motivo: testar exigiria subir o contexto completo do Spring, o que tira o caráter unitário da suíte sem trazer sinal novo:</w:t>
      </w:r>
    </w:p>
    <w:p>
      <w:pPr>
        <w:spacing w:after="80"/>
        <w:ind w:left="360" w:hanging="180"/>
      </w:pPr>
      <w:r>
        <w:t xml:space="preserve">• </w:t>
      </w:r>
      <w:r>
        <w:rPr>
          <w:b/>
        </w:rPr>
        <w:t>SecurityConfig</w:t>
      </w:r>
      <w:r>
        <w:t xml:space="preserve"> — securityFilterChain e corsConfigurationSource são fiação de framework. O efeito deles aparece de lado (os testes de controller conferem 403 para quem não é ADMIN e leitura pública no catálogo do product-service), mas asserção nenhuma chama os métodos.</w:t>
      </w:r>
    </w:p>
    <w:p>
      <w:pPr>
        <w:spacing w:after="80"/>
        <w:ind w:left="360" w:hanging="180"/>
      </w:pPr>
      <w:r>
        <w:t xml:space="preserve">• </w:t>
      </w:r>
      <w:r>
        <w:rPr>
          <w:b/>
        </w:rPr>
        <w:t>RestClientConfig</w:t>
      </w:r>
      <w:r>
        <w:t xml:space="preserve"> — um único @Bean que devolve o RestClient.Builder já configurado.</w:t>
      </w:r>
    </w:p>
    <w:p>
      <w:pPr>
        <w:spacing w:after="150"/>
      </w:pPr>
      <w:r>
        <w:t>As duas reaparecem como resíduo no relatório de mutation score, documentadas lá pelo mesmo motivo.</w:t>
      </w:r>
    </w:p>
    <w:p>
      <w:pPr>
        <w:pStyle w:val="Heading2"/>
        <w:spacing w:after="150" w:before="300"/>
      </w:pPr>
      <w:r>
        <w:t xml:space="preserve">Metodologia</w:t>
      </w:r>
    </w:p>
    <w:p>
      <w:pPr>
        <w:spacing w:after="150"/>
      </w:pPr>
      <w:r>
        <w:t>Cada serviço tem suíte, pom.xml e processo próprios. Não tem execução agregada: são quatro comandos independentes.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cd user-service    &amp;&amp; mvn test   # 54 testes</w:t>
        <w:br/>
        <w:t xml:space="preserve">cd product-service &amp;&amp; mvn test   # 58 testes</w:t>
        <w:br/>
        <w:t xml:space="preserve">cd order-service   &amp;&amp; mvn test   # 76 testes</w:t>
        <w:br/>
        <w:t xml:space="preserve">cd report-service  &amp;&amp; mvn test   # 27 testes</w:t>
      </w:r>
    </w:p>
    <w:p>
      <w:pPr>
        <w:spacing w:after="150"/>
      </w:pPr>
      <w:r>
        <w:t>Esse mesmo mvn test já dispara o JaCoCo (relatório em target/site/jacoco/index.html) e as regras de arquitetura do ArchUnit, que aparecem no Surefire como qualquer outra classe de teste. Só o mutation score fica de fora, porque não está preso ao ciclo padrão: precisa do goal descrito no relatório do PITest.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auto"/>
      <w:sz w:val="32"/>
      <w:szCs w:val="32"/>
    </w:rPr>
  </w:style>
  <w:style w:type="paragraph" w:styleId="Heading2">
    <w:name w:val="Heading 2"/>
    <w:basedOn w:val="Normal"/>
    <w:next w:val="Normal"/>
    <w:qFormat/>
    <w:rPr>
      <w:color w:val="auto"/>
      <w:sz w:val="26"/>
      <w:szCs w:val="26"/>
    </w:rPr>
  </w:style>
  <w:style w:type="paragraph" w:styleId="Heading3">
    <w:name w:val="Heading 3"/>
    <w:basedOn w:val="Normal"/>
    <w:next w:val="Normal"/>
    <w:qFormat/>
    <w:rPr>
      <w:color w:val="auto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auto"/>
    </w:rPr>
  </w:style>
  <w:style w:type="paragraph" w:styleId="Heading5">
    <w:name w:val="Heading 5"/>
    <w:basedOn w:val="Normal"/>
    <w:next w:val="Normal"/>
    <w:qFormat/>
    <w:rPr>
      <w:color w:val="auto"/>
    </w:rPr>
  </w:style>
  <w:style w:type="paragraph" w:styleId="Heading6">
    <w:name w:val="Heading 6"/>
    <w:basedOn w:val="Normal"/>
    <w:next w:val="Normal"/>
    <w:qFormat/>
    <w:rPr>
      <w:color w:val="auto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auto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2026-08-21T22:54:46.921Z</dcterms:created>
  <dcterms:modified xsi:type="dcterms:W3CDTF">2026-08-21T22:54:46.921Z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