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200"/>
      </w:pPr>
      <w:r>
        <w:t xml:space="preserve">Relatório de Cobertura de Código (Branch Coverage)</w:t>
      </w:r>
    </w:p>
    <w:p>
      <w:pPr>
        <w:spacing w:after="60"/>
      </w:pPr>
      <w:r>
        <w:rPr>
          <w:b/>
          <w:bCs/>
        </w:rPr>
        <w:t xml:space="preserve">Ferramenta: </w:t>
      </w:r>
      <w:r>
        <w:rPr/>
        <w:t xml:space="preserve">JaCoCo 0.8.11</w:t>
      </w:r>
    </w:p>
    <w:p>
      <w:pPr>
        <w:spacing w:after="60"/>
      </w:pPr>
      <w:r>
        <w:rPr>
          <w:b/>
          <w:bCs/>
        </w:rPr>
        <w:t xml:space="preserve">Sistema: </w:t>
      </w:r>
      <w:r>
        <w:rPr/>
        <w:t xml:space="preserve">microservices-ecommerce (user, product, order, report)</w:t>
      </w:r>
    </w:p>
    <w:p>
      <w:pPr>
        <w:spacing w:after="150"/>
      </w:pPr>
      <w:r>
        <w:rPr>
          <w:b/>
          <w:bCs/>
        </w:rPr>
        <w:t xml:space="preserve">Critério medido: </w:t>
      </w:r>
      <w:r>
        <w:rPr/>
        <w:t xml:space="preserve">cobertura de ramos (branch coverage) — fração de desvios de fluxo (if/else/switch/operadores curto-circuitados) exercitados pela suíte, mais rigoroso que cobertura de linha/comando. É a mesma métrica e a mesma versão de ferramenta usadas no monólito de referência.</w:t>
      </w:r>
    </w:p>
    <w:p>
      <w:pPr>
        <w:pStyle w:val="Heading2"/>
        <w:spacing w:after="150" w:before="300"/>
      </w:pPr>
      <w:r>
        <w:t xml:space="preserve">Resultado geral</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866"/>
        <w:gridCol w:w="2000"/>
        <w:gridCol w:w="1600"/>
        <w:gridCol w:w="2000"/>
        <w:gridCol w:w="2000"/>
      </w:tblGrid>
      <w:tr>
        <w:trPr>
          <w:tblHeader/>
        </w:trPr>
        <w:tc>
          <w:tcPr>
            <w:tcW w:type="dxa" w:w="2866"/>
            <w:shd w:fill="2F5496" w:color="auto" w:val="clear"/>
            <w:tcMar>
              <w:top w:type="dxa" w:w="60"/>
              <w:left w:type="dxa" w:w="100"/>
              <w:bottom w:type="dxa" w:w="60"/>
              <w:right w:type="dxa" w:w="100"/>
            </w:tcMar>
          </w:tcPr>
          <w:p>
            <w:r>
              <w:rPr>
                <w:b/>
                <w:bCs/>
                <w:color w:val="FFFFFF"/>
                <w:sz w:val="20"/>
                <w:szCs w:val="20"/>
              </w:rPr>
              <w:t xml:space="preserve">Serviço</w:t>
            </w:r>
          </w:p>
        </w:tc>
        <w:tc>
          <w:tcPr>
            <w:tcW w:type="dxa" w:w="2000"/>
            <w:shd w:fill="2F5496" w:color="auto" w:val="clear"/>
            <w:tcMar>
              <w:top w:type="dxa" w:w="60"/>
              <w:left w:type="dxa" w:w="100"/>
              <w:bottom w:type="dxa" w:w="60"/>
              <w:right w:type="dxa" w:w="100"/>
            </w:tcMar>
          </w:tcPr>
          <w:p>
            <w:r>
              <w:rPr>
                <w:b/>
                <w:bCs/>
                <w:color w:val="FFFFFF"/>
                <w:sz w:val="20"/>
                <w:szCs w:val="20"/>
              </w:rPr>
              <w:t xml:space="preserve">Ramos cobertos</w:t>
            </w:r>
          </w:p>
        </w:tc>
        <w:tc>
          <w:tcPr>
            <w:tcW w:type="dxa" w:w="1600"/>
            <w:shd w:fill="2F5496" w:color="auto" w:val="clear"/>
            <w:tcMar>
              <w:top w:type="dxa" w:w="60"/>
              <w:left w:type="dxa" w:w="100"/>
              <w:bottom w:type="dxa" w:w="60"/>
              <w:right w:type="dxa" w:w="100"/>
            </w:tcMar>
          </w:tcPr>
          <w:p>
            <w:r>
              <w:rPr>
                <w:b/>
                <w:bCs/>
                <w:color w:val="FFFFFF"/>
                <w:sz w:val="20"/>
                <w:szCs w:val="20"/>
              </w:rPr>
              <w:t xml:space="preserve">Branch</w:t>
            </w:r>
          </w:p>
        </w:tc>
        <w:tc>
          <w:tcPr>
            <w:tcW w:type="dxa" w:w="2000"/>
            <w:shd w:fill="2F5496" w:color="auto" w:val="clear"/>
            <w:tcMar>
              <w:top w:type="dxa" w:w="60"/>
              <w:left w:type="dxa" w:w="100"/>
              <w:bottom w:type="dxa" w:w="60"/>
              <w:right w:type="dxa" w:w="100"/>
            </w:tcMar>
          </w:tcPr>
          <w:p>
            <w:r>
              <w:rPr>
                <w:b/>
                <w:bCs/>
                <w:color w:val="FFFFFF"/>
                <w:sz w:val="20"/>
                <w:szCs w:val="20"/>
              </w:rPr>
              <w:t xml:space="preserve">Linhas</w:t>
            </w:r>
          </w:p>
        </w:tc>
        <w:tc>
          <w:tcPr>
            <w:tcW w:type="dxa" w:w="2000"/>
            <w:shd w:fill="2F5496" w:color="auto" w:val="clear"/>
            <w:tcMar>
              <w:top w:type="dxa" w:w="60"/>
              <w:left w:type="dxa" w:w="100"/>
              <w:bottom w:type="dxa" w:w="60"/>
              <w:right w:type="dxa" w:w="100"/>
            </w:tcMar>
          </w:tcPr>
          <w:p>
            <w:r>
              <w:rPr>
                <w:b/>
                <w:bCs/>
                <w:color w:val="FFFFFF"/>
                <w:sz w:val="20"/>
                <w:szCs w:val="20"/>
              </w:rPr>
              <w:t xml:space="preserve">Line</w:t>
            </w:r>
          </w:p>
        </w:tc>
      </w:tr>
      <w:tr>
        <w:tc>
          <w:tcPr>
            <w:tcW w:type="dxa" w:w="2866"/>
            <w:tcMar>
              <w:top w:type="dxa" w:w="60"/>
              <w:left w:type="dxa" w:w="100"/>
              <w:bottom w:type="dxa" w:w="60"/>
              <w:right w:type="dxa" w:w="100"/>
            </w:tcMar>
          </w:tcPr>
          <w:p>
            <w:r>
              <w:rPr>
                <w:b/>
                <w:bCs/>
                <w:sz w:val="20"/>
                <w:szCs w:val="20"/>
              </w:rPr>
              <w:t xml:space="preserve">user-service</w:t>
            </w:r>
          </w:p>
        </w:tc>
        <w:tc>
          <w:tcPr>
            <w:tcW w:type="dxa" w:w="2000"/>
            <w:tcMar>
              <w:top w:type="dxa" w:w="60"/>
              <w:left w:type="dxa" w:w="100"/>
              <w:bottom w:type="dxa" w:w="60"/>
              <w:right w:type="dxa" w:w="100"/>
            </w:tcMar>
          </w:tcPr>
          <w:p>
            <w:r>
              <w:rPr>
                <w:b w:val="false"/>
                <w:bCs w:val="false"/>
                <w:sz w:val="20"/>
                <w:szCs w:val="20"/>
              </w:rPr>
              <w:t xml:space="preserve">16 / 16</w:t>
            </w:r>
          </w:p>
        </w:tc>
        <w:tc>
          <w:tcPr>
            <w:tcW w:type="dxa" w:w="1600"/>
            <w:tcMar>
              <w:top w:type="dxa" w:w="60"/>
              <w:left w:type="dxa" w:w="100"/>
              <w:bottom w:type="dxa" w:w="60"/>
              <w:right w:type="dxa" w:w="100"/>
            </w:tcMar>
          </w:tcPr>
          <w:p>
            <w:r>
              <w:rPr>
                <w:b w:val="false"/>
                <w:bCs w:val="false"/>
                <w:sz w:val="20"/>
                <w:szCs w:val="20"/>
              </w:rPr>
              <w:t xml:space="preserve">100,0%</w:t>
            </w:r>
          </w:p>
        </w:tc>
        <w:tc>
          <w:tcPr>
            <w:tcW w:type="dxa" w:w="2000"/>
            <w:tcMar>
              <w:top w:type="dxa" w:w="60"/>
              <w:left w:type="dxa" w:w="100"/>
              <w:bottom w:type="dxa" w:w="60"/>
              <w:right w:type="dxa" w:w="100"/>
            </w:tcMar>
          </w:tcPr>
          <w:p>
            <w:r>
              <w:rPr>
                <w:b w:val="false"/>
                <w:bCs w:val="false"/>
                <w:sz w:val="20"/>
                <w:szCs w:val="20"/>
              </w:rPr>
              <w:t xml:space="preserve">158 / 161</w:t>
            </w:r>
          </w:p>
        </w:tc>
        <w:tc>
          <w:tcPr>
            <w:tcW w:type="dxa" w:w="2000"/>
            <w:tcMar>
              <w:top w:type="dxa" w:w="60"/>
              <w:left w:type="dxa" w:w="100"/>
              <w:bottom w:type="dxa" w:w="60"/>
              <w:right w:type="dxa" w:w="100"/>
            </w:tcMar>
          </w:tcPr>
          <w:p>
            <w:r>
              <w:rPr>
                <w:b w:val="false"/>
                <w:bCs w:val="false"/>
                <w:sz w:val="20"/>
                <w:szCs w:val="20"/>
              </w:rPr>
              <w:t xml:space="preserve">98,1%</w:t>
            </w:r>
          </w:p>
        </w:tc>
      </w:tr>
      <w:tr>
        <w:tc>
          <w:tcPr>
            <w:tcW w:type="dxa" w:w="2866"/>
            <w:tcMar>
              <w:top w:type="dxa" w:w="60"/>
              <w:left w:type="dxa" w:w="100"/>
              <w:bottom w:type="dxa" w:w="60"/>
              <w:right w:type="dxa" w:w="100"/>
            </w:tcMar>
          </w:tcPr>
          <w:p>
            <w:r>
              <w:rPr>
                <w:b/>
                <w:bCs/>
                <w:sz w:val="20"/>
                <w:szCs w:val="20"/>
              </w:rPr>
              <w:t xml:space="preserve">product-service</w:t>
            </w:r>
          </w:p>
        </w:tc>
        <w:tc>
          <w:tcPr>
            <w:tcW w:type="dxa" w:w="2000"/>
            <w:tcMar>
              <w:top w:type="dxa" w:w="60"/>
              <w:left w:type="dxa" w:w="100"/>
              <w:bottom w:type="dxa" w:w="60"/>
              <w:right w:type="dxa" w:w="100"/>
            </w:tcMar>
          </w:tcPr>
          <w:p>
            <w:r>
              <w:rPr>
                <w:b w:val="false"/>
                <w:bCs w:val="false"/>
                <w:sz w:val="20"/>
                <w:szCs w:val="20"/>
              </w:rPr>
              <w:t xml:space="preserve">10 / 10</w:t>
            </w:r>
          </w:p>
        </w:tc>
        <w:tc>
          <w:tcPr>
            <w:tcW w:type="dxa" w:w="1600"/>
            <w:tcMar>
              <w:top w:type="dxa" w:w="60"/>
              <w:left w:type="dxa" w:w="100"/>
              <w:bottom w:type="dxa" w:w="60"/>
              <w:right w:type="dxa" w:w="100"/>
            </w:tcMar>
          </w:tcPr>
          <w:p>
            <w:r>
              <w:rPr>
                <w:b w:val="false"/>
                <w:bCs w:val="false"/>
                <w:sz w:val="20"/>
                <w:szCs w:val="20"/>
              </w:rPr>
              <w:t xml:space="preserve">100,0%</w:t>
            </w:r>
          </w:p>
        </w:tc>
        <w:tc>
          <w:tcPr>
            <w:tcW w:type="dxa" w:w="2000"/>
            <w:tcMar>
              <w:top w:type="dxa" w:w="60"/>
              <w:left w:type="dxa" w:w="100"/>
              <w:bottom w:type="dxa" w:w="60"/>
              <w:right w:type="dxa" w:w="100"/>
            </w:tcMar>
          </w:tcPr>
          <w:p>
            <w:r>
              <w:rPr>
                <w:b w:val="false"/>
                <w:bCs w:val="false"/>
                <w:sz w:val="20"/>
                <w:szCs w:val="20"/>
              </w:rPr>
              <w:t xml:space="preserve">141 / 144</w:t>
            </w:r>
          </w:p>
        </w:tc>
        <w:tc>
          <w:tcPr>
            <w:tcW w:type="dxa" w:w="2000"/>
            <w:tcMar>
              <w:top w:type="dxa" w:w="60"/>
              <w:left w:type="dxa" w:w="100"/>
              <w:bottom w:type="dxa" w:w="60"/>
              <w:right w:type="dxa" w:w="100"/>
            </w:tcMar>
          </w:tcPr>
          <w:p>
            <w:r>
              <w:rPr>
                <w:b w:val="false"/>
                <w:bCs w:val="false"/>
                <w:sz w:val="20"/>
                <w:szCs w:val="20"/>
              </w:rPr>
              <w:t xml:space="preserve">97,9%</w:t>
            </w:r>
          </w:p>
        </w:tc>
      </w:tr>
      <w:tr>
        <w:tc>
          <w:tcPr>
            <w:tcW w:type="dxa" w:w="2866"/>
            <w:tcMar>
              <w:top w:type="dxa" w:w="60"/>
              <w:left w:type="dxa" w:w="100"/>
              <w:bottom w:type="dxa" w:w="60"/>
              <w:right w:type="dxa" w:w="100"/>
            </w:tcMar>
          </w:tcPr>
          <w:p>
            <w:r>
              <w:rPr>
                <w:b/>
                <w:bCs/>
                <w:sz w:val="20"/>
                <w:szCs w:val="20"/>
              </w:rPr>
              <w:t xml:space="preserve">order-service</w:t>
            </w:r>
          </w:p>
        </w:tc>
        <w:tc>
          <w:tcPr>
            <w:tcW w:type="dxa" w:w="2000"/>
            <w:tcMar>
              <w:top w:type="dxa" w:w="60"/>
              <w:left w:type="dxa" w:w="100"/>
              <w:bottom w:type="dxa" w:w="60"/>
              <w:right w:type="dxa" w:w="100"/>
            </w:tcMar>
          </w:tcPr>
          <w:p>
            <w:r>
              <w:rPr>
                <w:b w:val="false"/>
                <w:bCs w:val="false"/>
                <w:sz w:val="20"/>
                <w:szCs w:val="20"/>
              </w:rPr>
              <w:t xml:space="preserve">28 / 28</w:t>
            </w:r>
          </w:p>
        </w:tc>
        <w:tc>
          <w:tcPr>
            <w:tcW w:type="dxa" w:w="1600"/>
            <w:tcMar>
              <w:top w:type="dxa" w:w="60"/>
              <w:left w:type="dxa" w:w="100"/>
              <w:bottom w:type="dxa" w:w="60"/>
              <w:right w:type="dxa" w:w="100"/>
            </w:tcMar>
          </w:tcPr>
          <w:p>
            <w:r>
              <w:rPr>
                <w:b w:val="false"/>
                <w:bCs w:val="false"/>
                <w:sz w:val="20"/>
                <w:szCs w:val="20"/>
              </w:rPr>
              <w:t xml:space="preserve">100,0%</w:t>
            </w:r>
          </w:p>
        </w:tc>
        <w:tc>
          <w:tcPr>
            <w:tcW w:type="dxa" w:w="2000"/>
            <w:tcMar>
              <w:top w:type="dxa" w:w="60"/>
              <w:left w:type="dxa" w:w="100"/>
              <w:bottom w:type="dxa" w:w="60"/>
              <w:right w:type="dxa" w:w="100"/>
            </w:tcMar>
          </w:tcPr>
          <w:p>
            <w:r>
              <w:rPr>
                <w:b w:val="false"/>
                <w:bCs w:val="false"/>
                <w:sz w:val="20"/>
                <w:szCs w:val="20"/>
              </w:rPr>
              <w:t xml:space="preserve">222 / 236</w:t>
            </w:r>
          </w:p>
        </w:tc>
        <w:tc>
          <w:tcPr>
            <w:tcW w:type="dxa" w:w="2000"/>
            <w:tcMar>
              <w:top w:type="dxa" w:w="60"/>
              <w:left w:type="dxa" w:w="100"/>
              <w:bottom w:type="dxa" w:w="60"/>
              <w:right w:type="dxa" w:w="100"/>
            </w:tcMar>
          </w:tcPr>
          <w:p>
            <w:r>
              <w:rPr>
                <w:b w:val="false"/>
                <w:bCs w:val="false"/>
                <w:sz w:val="20"/>
                <w:szCs w:val="20"/>
              </w:rPr>
              <w:t xml:space="preserve">94,1%</w:t>
            </w:r>
          </w:p>
        </w:tc>
      </w:tr>
      <w:tr>
        <w:tc>
          <w:tcPr>
            <w:tcW w:type="dxa" w:w="2866"/>
            <w:tcMar>
              <w:top w:type="dxa" w:w="60"/>
              <w:left w:type="dxa" w:w="100"/>
              <w:bottom w:type="dxa" w:w="60"/>
              <w:right w:type="dxa" w:w="100"/>
            </w:tcMar>
          </w:tcPr>
          <w:p>
            <w:r>
              <w:rPr>
                <w:b/>
                <w:bCs/>
                <w:sz w:val="20"/>
                <w:szCs w:val="20"/>
              </w:rPr>
              <w:t xml:space="preserve">report-service</w:t>
            </w:r>
          </w:p>
        </w:tc>
        <w:tc>
          <w:tcPr>
            <w:tcW w:type="dxa" w:w="2000"/>
            <w:tcMar>
              <w:top w:type="dxa" w:w="60"/>
              <w:left w:type="dxa" w:w="100"/>
              <w:bottom w:type="dxa" w:w="60"/>
              <w:right w:type="dxa" w:w="100"/>
            </w:tcMar>
          </w:tcPr>
          <w:p>
            <w:r>
              <w:rPr>
                <w:b w:val="false"/>
                <w:bCs w:val="false"/>
                <w:sz w:val="20"/>
                <w:szCs w:val="20"/>
              </w:rPr>
              <w:t xml:space="preserve">10 / 10</w:t>
            </w:r>
          </w:p>
        </w:tc>
        <w:tc>
          <w:tcPr>
            <w:tcW w:type="dxa" w:w="1600"/>
            <w:tcMar>
              <w:top w:type="dxa" w:w="60"/>
              <w:left w:type="dxa" w:w="100"/>
              <w:bottom w:type="dxa" w:w="60"/>
              <w:right w:type="dxa" w:w="100"/>
            </w:tcMar>
          </w:tcPr>
          <w:p>
            <w:r>
              <w:rPr>
                <w:b w:val="false"/>
                <w:bCs w:val="false"/>
                <w:sz w:val="20"/>
                <w:szCs w:val="20"/>
              </w:rPr>
              <w:t xml:space="preserve">100,0%</w:t>
            </w:r>
          </w:p>
        </w:tc>
        <w:tc>
          <w:tcPr>
            <w:tcW w:type="dxa" w:w="2000"/>
            <w:tcMar>
              <w:top w:type="dxa" w:w="60"/>
              <w:left w:type="dxa" w:w="100"/>
              <w:bottom w:type="dxa" w:w="60"/>
              <w:right w:type="dxa" w:w="100"/>
            </w:tcMar>
          </w:tcPr>
          <w:p>
            <w:r>
              <w:rPr>
                <w:b w:val="false"/>
                <w:bCs w:val="false"/>
                <w:sz w:val="20"/>
                <w:szCs w:val="20"/>
              </w:rPr>
              <w:t xml:space="preserve">94 / 96</w:t>
            </w:r>
          </w:p>
        </w:tc>
        <w:tc>
          <w:tcPr>
            <w:tcW w:type="dxa" w:w="2000"/>
            <w:tcMar>
              <w:top w:type="dxa" w:w="60"/>
              <w:left w:type="dxa" w:w="100"/>
              <w:bottom w:type="dxa" w:w="60"/>
              <w:right w:type="dxa" w:w="100"/>
            </w:tcMar>
          </w:tcPr>
          <w:p>
            <w:r>
              <w:rPr>
                <w:b w:val="false"/>
                <w:bCs w:val="false"/>
                <w:sz w:val="20"/>
                <w:szCs w:val="20"/>
              </w:rPr>
              <w:t xml:space="preserve">97,9%</w:t>
            </w:r>
          </w:p>
        </w:tc>
      </w:tr>
      <w:tr>
        <w:tc>
          <w:tcPr>
            <w:tcW w:type="dxa" w:w="2866"/>
            <w:tcMar>
              <w:top w:type="dxa" w:w="60"/>
              <w:left w:type="dxa" w:w="100"/>
              <w:bottom w:type="dxa" w:w="60"/>
              <w:right w:type="dxa" w:w="100"/>
            </w:tcMar>
          </w:tcPr>
          <w:p>
            <w:r>
              <w:rPr>
                <w:b/>
                <w:bCs/>
                <w:sz w:val="20"/>
                <w:szCs w:val="20"/>
              </w:rPr>
              <w:t xml:space="preserve">Agregado</w:t>
            </w:r>
          </w:p>
        </w:tc>
        <w:tc>
          <w:tcPr>
            <w:tcW w:type="dxa" w:w="2000"/>
            <w:tcMar>
              <w:top w:type="dxa" w:w="60"/>
              <w:left w:type="dxa" w:w="100"/>
              <w:bottom w:type="dxa" w:w="60"/>
              <w:right w:type="dxa" w:w="100"/>
            </w:tcMar>
          </w:tcPr>
          <w:p>
            <w:r>
              <w:rPr>
                <w:b/>
                <w:bCs/>
                <w:sz w:val="20"/>
                <w:szCs w:val="20"/>
              </w:rPr>
              <w:t xml:space="preserve">64 / 64</w:t>
            </w:r>
          </w:p>
        </w:tc>
        <w:tc>
          <w:tcPr>
            <w:tcW w:type="dxa" w:w="1600"/>
            <w:tcMar>
              <w:top w:type="dxa" w:w="60"/>
              <w:left w:type="dxa" w:w="100"/>
              <w:bottom w:type="dxa" w:w="60"/>
              <w:right w:type="dxa" w:w="100"/>
            </w:tcMar>
          </w:tcPr>
          <w:p>
            <w:r>
              <w:rPr>
                <w:b/>
                <w:bCs/>
                <w:sz w:val="20"/>
                <w:szCs w:val="20"/>
              </w:rPr>
              <w:t xml:space="preserve">100,0%</w:t>
            </w:r>
          </w:p>
        </w:tc>
        <w:tc>
          <w:tcPr>
            <w:tcW w:type="dxa" w:w="2000"/>
            <w:tcMar>
              <w:top w:type="dxa" w:w="60"/>
              <w:left w:type="dxa" w:w="100"/>
              <w:bottom w:type="dxa" w:w="60"/>
              <w:right w:type="dxa" w:w="100"/>
            </w:tcMar>
          </w:tcPr>
          <w:p>
            <w:r>
              <w:rPr>
                <w:b/>
                <w:bCs/>
                <w:sz w:val="20"/>
                <w:szCs w:val="20"/>
              </w:rPr>
              <w:t xml:space="preserve">615 / 637</w:t>
            </w:r>
          </w:p>
        </w:tc>
        <w:tc>
          <w:tcPr>
            <w:tcW w:type="dxa" w:w="2000"/>
            <w:tcMar>
              <w:top w:type="dxa" w:w="60"/>
              <w:left w:type="dxa" w:w="100"/>
              <w:bottom w:type="dxa" w:w="60"/>
              <w:right w:type="dxa" w:w="100"/>
            </w:tcMar>
          </w:tcPr>
          <w:p>
            <w:r>
              <w:rPr>
                <w:b/>
                <w:bCs/>
                <w:sz w:val="20"/>
                <w:szCs w:val="20"/>
              </w:rPr>
              <w:t xml:space="preserve">96,5%</w:t>
            </w:r>
          </w:p>
        </w:tc>
      </w:tr>
    </w:tbl>
    <w:p>
      <w:pPr>
        <w:spacing w:after="60"/>
      </w:pPr>
      <w:r>
        <w:rPr/>
        <w:t xml:space="preserve"/>
      </w:r>
    </w:p>
    <w:p>
      <w:pPr>
        <w:spacing w:after="150"/>
      </w:pPr>
      <w:r>
        <w:rPr>
          <w:b/>
          <w:bCs/>
        </w:rPr>
        <w:t xml:space="preserve">Execuções (determinismo): </w:t>
      </w:r>
      <w:r>
        <w:rPr/>
        <w:t xml:space="preserve">o relatório é gerado a cada mvn test e o resultado se repete entre execuções — não há dependência de ordem, relógio ou banco, já que nenhum teste da suíte sobe contexto completo nem persiste dados.</w:t>
      </w:r>
    </w:p>
    <w:p>
      <w:pPr>
        <w:pStyle w:val="Heading2"/>
        <w:spacing w:after="150" w:before="300"/>
      </w:pPr>
      <w:r>
        <w:t xml:space="preserve">Cobertura por pacote (agregado dos quatro serviços)</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4466"/>
        <w:gridCol w:w="3000"/>
        <w:gridCol w:w="3000"/>
      </w:tblGrid>
      <w:tr>
        <w:trPr>
          <w:tblHeader/>
        </w:trPr>
        <w:tc>
          <w:tcPr>
            <w:tcW w:type="dxa" w:w="4466"/>
            <w:shd w:fill="2F5496" w:color="auto" w:val="clear"/>
            <w:tcMar>
              <w:top w:type="dxa" w:w="60"/>
              <w:left w:type="dxa" w:w="100"/>
              <w:bottom w:type="dxa" w:w="60"/>
              <w:right w:type="dxa" w:w="100"/>
            </w:tcMar>
          </w:tcPr>
          <w:p>
            <w:r>
              <w:rPr>
                <w:b/>
                <w:bCs/>
                <w:color w:val="FFFFFF"/>
                <w:sz w:val="20"/>
                <w:szCs w:val="20"/>
              </w:rPr>
              <w:t xml:space="preserve">Pacote</w:t>
            </w:r>
          </w:p>
        </w:tc>
        <w:tc>
          <w:tcPr>
            <w:tcW w:type="dxa" w:w="3000"/>
            <w:shd w:fill="2F5496" w:color="auto" w:val="clear"/>
            <w:tcMar>
              <w:top w:type="dxa" w:w="60"/>
              <w:left w:type="dxa" w:w="100"/>
              <w:bottom w:type="dxa" w:w="60"/>
              <w:right w:type="dxa" w:w="100"/>
            </w:tcMar>
          </w:tcPr>
          <w:p>
            <w:r>
              <w:rPr>
                <w:b/>
                <w:bCs/>
                <w:color w:val="FFFFFF"/>
                <w:sz w:val="20"/>
                <w:szCs w:val="20"/>
              </w:rPr>
              <w:t xml:space="preserve">Ramos cobertos</w:t>
            </w:r>
          </w:p>
        </w:tc>
        <w:tc>
          <w:tcPr>
            <w:tcW w:type="dxa" w:w="3000"/>
            <w:shd w:fill="2F5496" w:color="auto" w:val="clear"/>
            <w:tcMar>
              <w:top w:type="dxa" w:w="60"/>
              <w:left w:type="dxa" w:w="100"/>
              <w:bottom w:type="dxa" w:w="60"/>
              <w:right w:type="dxa" w:w="100"/>
            </w:tcMar>
          </w:tcPr>
          <w:p>
            <w:r>
              <w:rPr>
                <w:b/>
                <w:bCs/>
                <w:color w:val="FFFFFF"/>
                <w:sz w:val="20"/>
                <w:szCs w:val="20"/>
              </w:rPr>
              <w:t xml:space="preserve">Cobertura</w:t>
            </w:r>
          </w:p>
        </w:tc>
      </w:tr>
      <w:tr>
        <w:tc>
          <w:tcPr>
            <w:tcW w:type="dxa" w:w="4466"/>
            <w:tcMar>
              <w:top w:type="dxa" w:w="60"/>
              <w:left w:type="dxa" w:w="100"/>
              <w:bottom w:type="dxa" w:w="60"/>
              <w:right w:type="dxa" w:w="100"/>
            </w:tcMar>
          </w:tcPr>
          <w:p>
            <w:r>
              <w:rPr>
                <w:b/>
                <w:bCs/>
                <w:sz w:val="20"/>
                <w:szCs w:val="20"/>
              </w:rPr>
              <w:t xml:space="preserve">controller</w:t>
            </w:r>
          </w:p>
        </w:tc>
        <w:tc>
          <w:tcPr>
            <w:tcW w:type="dxa" w:w="3000"/>
            <w:tcMar>
              <w:top w:type="dxa" w:w="60"/>
              <w:left w:type="dxa" w:w="100"/>
              <w:bottom w:type="dxa" w:w="60"/>
              <w:right w:type="dxa" w:w="100"/>
            </w:tcMar>
          </w:tcPr>
          <w:p>
            <w:r>
              <w:rPr>
                <w:b w:val="false"/>
                <w:bCs w:val="false"/>
                <w:sz w:val="20"/>
                <w:szCs w:val="20"/>
              </w:rPr>
              <w:t xml:space="preserve">4 / 4</w:t>
            </w:r>
          </w:p>
        </w:tc>
        <w:tc>
          <w:tcPr>
            <w:tcW w:type="dxa" w:w="3000"/>
            <w:tcMar>
              <w:top w:type="dxa" w:w="60"/>
              <w:left w:type="dxa" w:w="100"/>
              <w:bottom w:type="dxa" w:w="60"/>
              <w:right w:type="dxa" w:w="100"/>
            </w:tcMar>
          </w:tcPr>
          <w:p>
            <w:r>
              <w:rPr>
                <w:b w:val="false"/>
                <w:bCs w:val="false"/>
                <w:sz w:val="20"/>
                <w:szCs w:val="20"/>
              </w:rPr>
              <w:t xml:space="preserve">100,0%</w:t>
            </w:r>
          </w:p>
        </w:tc>
      </w:tr>
      <w:tr>
        <w:tc>
          <w:tcPr>
            <w:tcW w:type="dxa" w:w="4466"/>
            <w:tcMar>
              <w:top w:type="dxa" w:w="60"/>
              <w:left w:type="dxa" w:w="100"/>
              <w:bottom w:type="dxa" w:w="60"/>
              <w:right w:type="dxa" w:w="100"/>
            </w:tcMar>
          </w:tcPr>
          <w:p>
            <w:r>
              <w:rPr>
                <w:b/>
                <w:bCs/>
                <w:sz w:val="20"/>
                <w:szCs w:val="20"/>
              </w:rPr>
              <w:t xml:space="preserve">entity</w:t>
            </w:r>
          </w:p>
        </w:tc>
        <w:tc>
          <w:tcPr>
            <w:tcW w:type="dxa" w:w="3000"/>
            <w:tcMar>
              <w:top w:type="dxa" w:w="60"/>
              <w:left w:type="dxa" w:w="100"/>
              <w:bottom w:type="dxa" w:w="60"/>
              <w:right w:type="dxa" w:w="100"/>
            </w:tcMar>
          </w:tcPr>
          <w:p>
            <w:r>
              <w:rPr>
                <w:b w:val="false"/>
                <w:bCs w:val="false"/>
                <w:sz w:val="20"/>
                <w:szCs w:val="20"/>
              </w:rPr>
              <w:t xml:space="preserve">14 / 14</w:t>
            </w:r>
          </w:p>
        </w:tc>
        <w:tc>
          <w:tcPr>
            <w:tcW w:type="dxa" w:w="3000"/>
            <w:tcMar>
              <w:top w:type="dxa" w:w="60"/>
              <w:left w:type="dxa" w:w="100"/>
              <w:bottom w:type="dxa" w:w="60"/>
              <w:right w:type="dxa" w:w="100"/>
            </w:tcMar>
          </w:tcPr>
          <w:p>
            <w:r>
              <w:rPr>
                <w:b w:val="false"/>
                <w:bCs w:val="false"/>
                <w:sz w:val="20"/>
                <w:szCs w:val="20"/>
              </w:rPr>
              <w:t xml:space="preserve">100,0%</w:t>
            </w:r>
          </w:p>
        </w:tc>
      </w:tr>
      <w:tr>
        <w:tc>
          <w:tcPr>
            <w:tcW w:type="dxa" w:w="4466"/>
            <w:tcMar>
              <w:top w:type="dxa" w:w="60"/>
              <w:left w:type="dxa" w:w="100"/>
              <w:bottom w:type="dxa" w:w="60"/>
              <w:right w:type="dxa" w:w="100"/>
            </w:tcMar>
          </w:tcPr>
          <w:p>
            <w:r>
              <w:rPr>
                <w:b/>
                <w:bCs/>
                <w:sz w:val="20"/>
                <w:szCs w:val="20"/>
              </w:rPr>
              <w:t xml:space="preserve">exception</w:t>
            </w:r>
          </w:p>
        </w:tc>
        <w:tc>
          <w:tcPr>
            <w:tcW w:type="dxa" w:w="3000"/>
            <w:tcMar>
              <w:top w:type="dxa" w:w="60"/>
              <w:left w:type="dxa" w:w="100"/>
              <w:bottom w:type="dxa" w:w="60"/>
              <w:right w:type="dxa" w:w="100"/>
            </w:tcMar>
          </w:tcPr>
          <w:p>
            <w:r>
              <w:rPr>
                <w:b w:val="false"/>
                <w:bCs w:val="false"/>
                <w:sz w:val="20"/>
                <w:szCs w:val="20"/>
              </w:rPr>
              <w:t xml:space="preserve">6 / 6</w:t>
            </w:r>
          </w:p>
        </w:tc>
        <w:tc>
          <w:tcPr>
            <w:tcW w:type="dxa" w:w="3000"/>
            <w:tcMar>
              <w:top w:type="dxa" w:w="60"/>
              <w:left w:type="dxa" w:w="100"/>
              <w:bottom w:type="dxa" w:w="60"/>
              <w:right w:type="dxa" w:w="100"/>
            </w:tcMar>
          </w:tcPr>
          <w:p>
            <w:r>
              <w:rPr>
                <w:b w:val="false"/>
                <w:bCs w:val="false"/>
                <w:sz w:val="20"/>
                <w:szCs w:val="20"/>
              </w:rPr>
              <w:t xml:space="preserve">100,0%</w:t>
            </w:r>
          </w:p>
        </w:tc>
      </w:tr>
      <w:tr>
        <w:tc>
          <w:tcPr>
            <w:tcW w:type="dxa" w:w="4466"/>
            <w:tcMar>
              <w:top w:type="dxa" w:w="60"/>
              <w:left w:type="dxa" w:w="100"/>
              <w:bottom w:type="dxa" w:w="60"/>
              <w:right w:type="dxa" w:w="100"/>
            </w:tcMar>
          </w:tcPr>
          <w:p>
            <w:r>
              <w:rPr>
                <w:b/>
                <w:bCs/>
                <w:sz w:val="20"/>
                <w:szCs w:val="20"/>
              </w:rPr>
              <w:t xml:space="preserve">security</w:t>
            </w:r>
          </w:p>
        </w:tc>
        <w:tc>
          <w:tcPr>
            <w:tcW w:type="dxa" w:w="3000"/>
            <w:tcMar>
              <w:top w:type="dxa" w:w="60"/>
              <w:left w:type="dxa" w:w="100"/>
              <w:bottom w:type="dxa" w:w="60"/>
              <w:right w:type="dxa" w:w="100"/>
            </w:tcMar>
          </w:tcPr>
          <w:p>
            <w:r>
              <w:rPr>
                <w:b w:val="false"/>
                <w:bCs w:val="false"/>
                <w:sz w:val="20"/>
                <w:szCs w:val="20"/>
              </w:rPr>
              <w:t xml:space="preserve">24 / 24</w:t>
            </w:r>
          </w:p>
        </w:tc>
        <w:tc>
          <w:tcPr>
            <w:tcW w:type="dxa" w:w="3000"/>
            <w:tcMar>
              <w:top w:type="dxa" w:w="60"/>
              <w:left w:type="dxa" w:w="100"/>
              <w:bottom w:type="dxa" w:w="60"/>
              <w:right w:type="dxa" w:w="100"/>
            </w:tcMar>
          </w:tcPr>
          <w:p>
            <w:r>
              <w:rPr>
                <w:b w:val="false"/>
                <w:bCs w:val="false"/>
                <w:sz w:val="20"/>
                <w:szCs w:val="20"/>
              </w:rPr>
              <w:t xml:space="preserve">100,0%</w:t>
            </w:r>
          </w:p>
        </w:tc>
      </w:tr>
      <w:tr>
        <w:tc>
          <w:tcPr>
            <w:tcW w:type="dxa" w:w="4466"/>
            <w:tcMar>
              <w:top w:type="dxa" w:w="60"/>
              <w:left w:type="dxa" w:w="100"/>
              <w:bottom w:type="dxa" w:w="60"/>
              <w:right w:type="dxa" w:w="100"/>
            </w:tcMar>
          </w:tcPr>
          <w:p>
            <w:r>
              <w:rPr>
                <w:b/>
                <w:bCs/>
                <w:sz w:val="20"/>
                <w:szCs w:val="20"/>
              </w:rPr>
              <w:t xml:space="preserve">service</w:t>
            </w:r>
          </w:p>
        </w:tc>
        <w:tc>
          <w:tcPr>
            <w:tcW w:type="dxa" w:w="3000"/>
            <w:tcMar>
              <w:top w:type="dxa" w:w="60"/>
              <w:left w:type="dxa" w:w="100"/>
              <w:bottom w:type="dxa" w:w="60"/>
              <w:right w:type="dxa" w:w="100"/>
            </w:tcMar>
          </w:tcPr>
          <w:p>
            <w:r>
              <w:rPr>
                <w:b w:val="false"/>
                <w:bCs w:val="false"/>
                <w:sz w:val="20"/>
                <w:szCs w:val="20"/>
              </w:rPr>
              <w:t xml:space="preserve">16 / 16</w:t>
            </w:r>
          </w:p>
        </w:tc>
        <w:tc>
          <w:tcPr>
            <w:tcW w:type="dxa" w:w="3000"/>
            <w:tcMar>
              <w:top w:type="dxa" w:w="60"/>
              <w:left w:type="dxa" w:w="100"/>
              <w:bottom w:type="dxa" w:w="60"/>
              <w:right w:type="dxa" w:w="100"/>
            </w:tcMar>
          </w:tcPr>
          <w:p>
            <w:r>
              <w:rPr>
                <w:b w:val="false"/>
                <w:bCs w:val="false"/>
                <w:sz w:val="20"/>
                <w:szCs w:val="20"/>
              </w:rPr>
              <w:t xml:space="preserve">100,0%</w:t>
            </w:r>
          </w:p>
        </w:tc>
      </w:tr>
      <w:tr>
        <w:tc>
          <w:tcPr>
            <w:tcW w:type="dxa" w:w="4466"/>
            <w:tcMar>
              <w:top w:type="dxa" w:w="60"/>
              <w:left w:type="dxa" w:w="100"/>
              <w:bottom w:type="dxa" w:w="60"/>
              <w:right w:type="dxa" w:w="100"/>
            </w:tcMar>
          </w:tcPr>
          <w:p>
            <w:r>
              <w:rPr>
                <w:b/>
                <w:bCs/>
                <w:sz w:val="20"/>
                <w:szCs w:val="20"/>
              </w:rPr>
              <w:t xml:space="preserve">client / client.dto</w:t>
            </w:r>
          </w:p>
        </w:tc>
        <w:tc>
          <w:tcPr>
            <w:tcW w:type="dxa" w:w="3000"/>
            <w:tcMar>
              <w:top w:type="dxa" w:w="60"/>
              <w:left w:type="dxa" w:w="100"/>
              <w:bottom w:type="dxa" w:w="60"/>
              <w:right w:type="dxa" w:w="100"/>
            </w:tcMar>
          </w:tcPr>
          <w:p>
            <w:r>
              <w:rPr>
                <w:b w:val="false"/>
                <w:bCs w:val="false"/>
                <w:sz w:val="20"/>
                <w:szCs w:val="20"/>
              </w:rPr>
              <w:t xml:space="preserve">sem ramos</w:t>
            </w:r>
          </w:p>
        </w:tc>
        <w:tc>
          <w:tcPr>
            <w:tcW w:type="dxa" w:w="3000"/>
            <w:tcMar>
              <w:top w:type="dxa" w:w="60"/>
              <w:left w:type="dxa" w:w="100"/>
              <w:bottom w:type="dxa" w:w="60"/>
              <w:right w:type="dxa" w:w="100"/>
            </w:tcMar>
          </w:tcPr>
          <w:p>
            <w:r>
              <w:rPr>
                <w:b w:val="false"/>
                <w:bCs w:val="false"/>
                <w:sz w:val="20"/>
                <w:szCs w:val="20"/>
              </w:rPr>
              <w:t xml:space="preserve">—</w:t>
            </w:r>
          </w:p>
        </w:tc>
      </w:tr>
      <w:tr>
        <w:tc>
          <w:tcPr>
            <w:tcW w:type="dxa" w:w="4466"/>
            <w:tcMar>
              <w:top w:type="dxa" w:w="60"/>
              <w:left w:type="dxa" w:w="100"/>
              <w:bottom w:type="dxa" w:w="60"/>
              <w:right w:type="dxa" w:w="100"/>
            </w:tcMar>
          </w:tcPr>
          <w:p>
            <w:r>
              <w:rPr>
                <w:b/>
                <w:bCs/>
                <w:sz w:val="20"/>
                <w:szCs w:val="20"/>
              </w:rPr>
              <w:t xml:space="preserve">dto</w:t>
            </w:r>
          </w:p>
        </w:tc>
        <w:tc>
          <w:tcPr>
            <w:tcW w:type="dxa" w:w="3000"/>
            <w:tcMar>
              <w:top w:type="dxa" w:w="60"/>
              <w:left w:type="dxa" w:w="100"/>
              <w:bottom w:type="dxa" w:w="60"/>
              <w:right w:type="dxa" w:w="100"/>
            </w:tcMar>
          </w:tcPr>
          <w:p>
            <w:r>
              <w:rPr>
                <w:b w:val="false"/>
                <w:bCs w:val="false"/>
                <w:sz w:val="20"/>
                <w:szCs w:val="20"/>
              </w:rPr>
              <w:t xml:space="preserve">sem ramos</w:t>
            </w:r>
          </w:p>
        </w:tc>
        <w:tc>
          <w:tcPr>
            <w:tcW w:type="dxa" w:w="3000"/>
            <w:tcMar>
              <w:top w:type="dxa" w:w="60"/>
              <w:left w:type="dxa" w:w="100"/>
              <w:bottom w:type="dxa" w:w="60"/>
              <w:right w:type="dxa" w:w="100"/>
            </w:tcMar>
          </w:tcPr>
          <w:p>
            <w:r>
              <w:rPr>
                <w:b w:val="false"/>
                <w:bCs w:val="false"/>
                <w:sz w:val="20"/>
                <w:szCs w:val="20"/>
              </w:rPr>
              <w:t xml:space="preserve">—</w:t>
            </w:r>
          </w:p>
        </w:tc>
      </w:tr>
      <w:tr>
        <w:tc>
          <w:tcPr>
            <w:tcW w:type="dxa" w:w="4466"/>
            <w:tcMar>
              <w:top w:type="dxa" w:w="60"/>
              <w:left w:type="dxa" w:w="100"/>
              <w:bottom w:type="dxa" w:w="60"/>
              <w:right w:type="dxa" w:w="100"/>
            </w:tcMar>
          </w:tcPr>
          <w:p>
            <w:r>
              <w:rPr>
                <w:b/>
                <w:bCs/>
                <w:sz w:val="20"/>
                <w:szCs w:val="20"/>
              </w:rPr>
              <w:t xml:space="preserve">config e raiz (bootstrap)</w:t>
            </w:r>
          </w:p>
        </w:tc>
        <w:tc>
          <w:tcPr>
            <w:tcW w:type="dxa" w:w="3000"/>
            <w:tcMar>
              <w:top w:type="dxa" w:w="60"/>
              <w:left w:type="dxa" w:w="100"/>
              <w:bottom w:type="dxa" w:w="60"/>
              <w:right w:type="dxa" w:w="100"/>
            </w:tcMar>
          </w:tcPr>
          <w:p>
            <w:r>
              <w:rPr>
                <w:b w:val="false"/>
                <w:bCs w:val="false"/>
                <w:sz w:val="20"/>
                <w:szCs w:val="20"/>
              </w:rPr>
              <w:t xml:space="preserve">sem ramos</w:t>
            </w:r>
          </w:p>
        </w:tc>
        <w:tc>
          <w:tcPr>
            <w:tcW w:type="dxa" w:w="3000"/>
            <w:tcMar>
              <w:top w:type="dxa" w:w="60"/>
              <w:left w:type="dxa" w:w="100"/>
              <w:bottom w:type="dxa" w:w="60"/>
              <w:right w:type="dxa" w:w="100"/>
            </w:tcMar>
          </w:tcPr>
          <w:p>
            <w:r>
              <w:rPr>
                <w:b w:val="false"/>
                <w:bCs w:val="false"/>
                <w:sz w:val="20"/>
                <w:szCs w:val="20"/>
              </w:rPr>
              <w:t xml:space="preserve">—</w:t>
            </w:r>
          </w:p>
        </w:tc>
      </w:tr>
      <w:tr>
        <w:tc>
          <w:tcPr>
            <w:tcW w:type="dxa" w:w="4466"/>
            <w:tcMar>
              <w:top w:type="dxa" w:w="60"/>
              <w:left w:type="dxa" w:w="100"/>
              <w:bottom w:type="dxa" w:w="60"/>
              <w:right w:type="dxa" w:w="100"/>
            </w:tcMar>
          </w:tcPr>
          <w:p>
            <w:r>
              <w:rPr>
                <w:b/>
                <w:bCs/>
                <w:sz w:val="20"/>
                <w:szCs w:val="20"/>
              </w:rPr>
              <w:t xml:space="preserve">Total</w:t>
            </w:r>
          </w:p>
        </w:tc>
        <w:tc>
          <w:tcPr>
            <w:tcW w:type="dxa" w:w="3000"/>
            <w:tcMar>
              <w:top w:type="dxa" w:w="60"/>
              <w:left w:type="dxa" w:w="100"/>
              <w:bottom w:type="dxa" w:w="60"/>
              <w:right w:type="dxa" w:w="100"/>
            </w:tcMar>
          </w:tcPr>
          <w:p>
            <w:r>
              <w:rPr>
                <w:b/>
                <w:bCs/>
                <w:sz w:val="20"/>
                <w:szCs w:val="20"/>
              </w:rPr>
              <w:t xml:space="preserve">64 / 64</w:t>
            </w:r>
          </w:p>
        </w:tc>
        <w:tc>
          <w:tcPr>
            <w:tcW w:type="dxa" w:w="3000"/>
            <w:tcMar>
              <w:top w:type="dxa" w:w="60"/>
              <w:left w:type="dxa" w:w="100"/>
              <w:bottom w:type="dxa" w:w="60"/>
              <w:right w:type="dxa" w:w="100"/>
            </w:tcMar>
          </w:tcPr>
          <w:p>
            <w:r>
              <w:rPr>
                <w:b/>
                <w:bCs/>
                <w:sz w:val="20"/>
                <w:szCs w:val="20"/>
              </w:rPr>
              <w:t xml:space="preserve">100,0%</w:t>
            </w:r>
          </w:p>
        </w:tc>
      </w:tr>
    </w:tbl>
    <w:p>
      <w:pPr>
        <w:spacing w:after="60"/>
      </w:pPr>
      <w:r>
        <w:rPr/>
        <w:t xml:space="preserve"/>
      </w:r>
    </w:p>
    <w:p>
      <w:pPr>
        <w:spacing w:after="150"/>
      </w:pPr>
      <w:r>
        <w:rPr/>
        <w:t xml:space="preserve">Os pacotes marcados como "sem ramos" não são omissões: eles realmente não têm nenhum desvio de fluxo no bytecode. Os DTOs são records, cujo equals/hashCode é gerado por invokedynamic (ObjectMethods.bootstrap) e não emite salto condicional algum; as classes de config e os *Application são wiring sem lógica.</w:t>
      </w:r>
    </w:p>
    <w:p>
      <w:pPr>
        <w:pStyle w:val="Heading2"/>
        <w:spacing w:after="150" w:before="300"/>
      </w:pPr>
      <w:r>
        <w:t xml:space="preserve">As 22 linhas que restam sem cobertura</w:t>
      </w:r>
    </w:p>
    <w:p>
      <w:pPr>
        <w:spacing w:after="150"/>
      </w:pPr>
      <w:r>
        <w:rPr/>
        <w:t xml:space="preserve">Com branch coverage em 100%, o que sobra é cobertura de linha, concentrada em três grupos — todos previsíveis e nenhum com regra de negócio:</w:t>
      </w:r>
    </w:p>
    <w:p>
      <w:pPr>
        <w:spacing w:after="80"/>
        <w:ind w:left="360" w:hanging="180"/>
      </w:pPr>
      <w:r>
        <w:rPr/>
        <w:t xml:space="preserve">• </w:t>
      </w:r>
      <w:r>
        <w:rPr>
          <w:b/>
          <w:bCs/>
        </w:rPr>
        <w:t xml:space="preserve">ProductClient (8 linhas). </w:t>
      </w:r>
      <w:r>
        <w:rPr/>
        <w:t xml:space="preserve">Trechos de tratamento de erro do RestClient que o MockRestServiceServer não alcança sem simular falha de transporte real.</w:t>
      </w:r>
    </w:p>
    <w:p>
      <w:pPr>
        <w:spacing w:after="80"/>
        <w:ind w:left="360" w:hanging="180"/>
      </w:pPr>
      <w:r>
        <w:rPr/>
        <w:t xml:space="preserve">• </w:t>
      </w:r>
      <w:r>
        <w:rPr>
          <w:b/>
          <w:bCs/>
        </w:rPr>
        <w:t xml:space="preserve">*Application e RestClientConfig (8 linhas). </w:t>
      </w:r>
      <w:r>
        <w:rPr/>
        <w:t xml:space="preserve">Entrypoints do Spring Boot e um @Bean de infraestrutura.</w:t>
      </w:r>
    </w:p>
    <w:p>
      <w:pPr>
        <w:spacing w:after="80"/>
        <w:ind w:left="360" w:hanging="180"/>
      </w:pPr>
      <w:r>
        <w:rPr/>
        <w:t xml:space="preserve">• </w:t>
      </w:r>
      <w:r>
        <w:rPr>
          <w:b/>
          <w:bCs/>
        </w:rPr>
        <w:t xml:space="preserve">Getters de entidade (4 linhas). </w:t>
      </w:r>
      <w:r>
        <w:rPr/>
        <w:t xml:space="preserve">Acessores que nenhum caminho de teste chega a invocar.</w:t>
      </w:r>
    </w:p>
    <w:p>
      <w:pPr>
        <w:pStyle w:val="Heading2"/>
        <w:spacing w:after="150" w:before="300"/>
      </w:pPr>
      <w:r>
        <w:t xml:space="preserve">Ressalva metodológica importante para a comparação</w:t>
      </w:r>
    </w:p>
    <w:p>
      <w:pPr>
        <w:spacing w:after="150"/>
      </w:pPr>
      <w:r>
        <w:rPr/>
        <w:t xml:space="preserve">Este 100% de branch coverage </w:t>
      </w:r>
      <w:r>
        <w:rPr>
          <w:b/>
          <w:bCs/>
          <w:i/>
          <w:iCs/>
        </w:rPr>
        <w:t xml:space="preserve">não</w:t>
      </w:r>
      <w:r>
        <w:rPr/>
        <w:t xml:space="preserve"> deve ser lido como "melhor que os 90,1% do monólito". Os dois números têm denominadores construídos de forma diferente, e a diferença é enorme: </w:t>
      </w:r>
      <w:r>
        <w:rPr>
          <w:b/>
          <w:bCs/>
        </w:rPr>
        <w:t xml:space="preserve">64 ramos aqui contra 1.982 no monólito</w:t>
      </w:r>
      <w:r>
        <w:rPr/>
        <w:t xml:space="preserve">, para funcionalidade equivalente — uma razão de mais de 30 vezes.</w:t>
      </w:r>
    </w:p>
    <w:p>
      <w:pPr>
        <w:spacing w:after="150"/>
      </w:pPr>
      <w:r>
        <w:rPr/>
        <w:t xml:space="preserve">A causa está visível nos próprios dados do relatório do monólito. Lá, o pacote exception tem 140 ramos e orders.dto tem 104. Classes de exceção e DTOs não têm lógica: esses ramos vêm de equals/hashCode/canEqual gerados por Lombok. Aqui os DTOs são records, que não geram ramo nenhum, e as exceções são classes de três linhas. O mesmo vale para security: 416 ramos no monólito contra 24 somando os quatro serviços.</w:t>
      </w:r>
    </w:p>
    <w:p>
      <w:pPr>
        <w:spacing w:after="150"/>
      </w:pPr>
      <w:r>
        <w:rPr/>
        <w:t xml:space="preserve">O efeito prático é que boa parte do denominador do monólito é boilerplate gerado — trivialmente coberto ou trivialmente descoberto — que dilui a métrica nos dois sentidos. Uma comparação direta de percentuais acabaria premiando o lado que escreve DTOs como record, que é uma decisão de estilo, não de qualidade de teste.</w:t>
      </w:r>
    </w:p>
    <w:p>
      <w:pPr>
        <w:spacing w:after="150"/>
      </w:pPr>
      <w:r>
        <w:rPr>
          <w:b/>
          <w:bCs/>
        </w:rPr>
        <w:t xml:space="preserve">Recomendação para o experimento: </w:t>
      </w:r>
      <w:r>
        <w:rPr/>
        <w:t xml:space="preserve">reportar branch coverage restrito a service + entity + controller + security nos dois sistemas, deixando o número bruto como dado secundário acompanhado desta ressalva. Pelos dados já publicados do monólito esse recorte é calculável sem precisar re-executar nada.</w:t>
      </w:r>
    </w:p>
    <w:p>
      <w:pPr>
        <w:pStyle w:val="Heading2"/>
        <w:spacing w:after="150" w:before="300"/>
      </w:pPr>
      <w:r>
        <w:t xml:space="preserve">Configuração</w:t>
      </w:r>
    </w:p>
    <w:p>
      <w:pPr>
        <w:spacing w:after="150"/>
      </w:pPr>
      <w:r>
        <w:rPr/>
        <w:t xml:space="preserve">O jacoco-maven-plugin está preso ao ciclo de vida padrão do Maven — prepare-agent antes dos testes e report na fase test — exatamente como no monólito de referência. O relatório sai automaticamente em toda execução de mvn test, sem passo manual:</w:t>
      </w:r>
    </w:p>
    <w:p>
      <w:pPr>
        <w:spacing w:after="150"/>
      </w:pPr>
      <w:r>
        <w:rPr>
          <w:rFonts w:ascii="Consolas" w:cs="Consolas" w:eastAsia="Consolas" w:hAnsi="Consolas"/>
          <w:sz w:val="20"/>
          <w:szCs w:val="20"/>
        </w:rPr>
        <w:t xml:space="preserve">cd &lt;servico&gt; &amp;&amp; mvn test</w:t>
        <w:br/>
        <w:t xml:space="preserve"># relatório em target/site/jacoco/index.html</w:t>
      </w:r>
    </w:p>
    <w:p>
      <w:pPr>
        <w:spacing w:after="150"/>
      </w:pPr>
      <w:r>
        <w:rPr/>
        <w:t xml:space="preserve">Duas escolhas de configuração merecem justificativa, porque a alternativa foi considerada e descartada:</w:t>
      </w:r>
    </w:p>
    <w:p>
      <w:pPr>
        <w:spacing w:after="80"/>
        <w:ind w:left="360" w:hanging="180"/>
      </w:pPr>
      <w:r>
        <w:rPr/>
        <w:t xml:space="preserve">• </w:t>
      </w:r>
      <w:r>
        <w:rPr>
          <w:b/>
          <w:bCs/>
        </w:rPr>
        <w:t xml:space="preserve">Sem &lt;excludes&gt;. </w:t>
      </w:r>
      <w:r>
        <w:rPr/>
        <w:t xml:space="preserve">Excluir bootstrap, config e DTOs da medição foi testado e revertido: o monólito mede o bundle inteiro, e a comparação só se sustenta se os dois lados medirem o mesmo universo de código. Na prática a exclusão sequer mudaria o branch coverage aqui (62/64 nas duas configurações, na época do teste), porque as classes candidatas a exclusão não têm ramos — só desalinharia a cobertura de linha.</w:t>
      </w:r>
    </w:p>
    <w:p>
      <w:pPr>
        <w:spacing w:after="80"/>
        <w:ind w:left="360" w:hanging="180"/>
      </w:pPr>
      <w:r>
        <w:rPr/>
        <w:t xml:space="preserve">• </w:t>
      </w:r>
      <w:r>
        <w:rPr>
          <w:b/>
          <w:bCs/>
        </w:rPr>
        <w:t xml:space="preserve">Sem jacoco:check. </w:t>
      </w:r>
      <w:r>
        <w:rPr/>
        <w:t xml:space="preserve">Um limite mínimo que falha o build foi considerado, mas exigiria mvn verify, uma fase que não faz parte do fluxo do projeto nem do monólito. Manter os dois lados no mesmo ciclo (mvn test) vale mais para o experimento do que o guarda-corpo.</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2026-08-21T22:54:46.921Z</dcterms:created>
  <dcterms:modified xsi:type="dcterms:W3CDTF">2026-08-21T22:54:46.921Z</dcterms:modified>
</cp:coreProperties>
</file>

<file path=docProps/custom.xml><?xml version="1.0" encoding="utf-8"?>
<Properties xmlns="http://schemas.openxmlformats.org/officeDocument/2006/custom-properties" xmlns:vt="http://schemas.openxmlformats.org/officeDocument/2006/docPropsVTypes"/>
</file>