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t xml:space="preserve">Relatório de Mutation Score</w:t>
      </w:r>
    </w:p>
    <w:p>
      <w:pPr>
        <w:spacing w:after="60"/>
      </w:pPr>
      <w:r>
        <w:rPr>
          <w:b/>
          <w:bCs/>
        </w:rPr>
        <w:t xml:space="preserve">Ferramenta: </w:t>
      </w:r>
      <w:r>
        <w:rPr/>
        <w:t xml:space="preserve">PITest 1.15.3 (+ pitest-junit5-plugin 1.2.1)</w:t>
      </w:r>
    </w:p>
    <w:p>
      <w:pPr>
        <w:spacing w:after="60"/>
      </w:pPr>
      <w:r>
        <w:rPr>
          <w:b/>
          <w:bCs/>
        </w:rPr>
        <w:t xml:space="preserve">Sistema: </w:t>
      </w:r>
      <w:r>
        <w:rPr/>
        <w:t xml:space="preserve">microservices-ecommerce (user, product, order, report)</w:t>
      </w:r>
    </w:p>
    <w:p>
      <w:pPr>
        <w:spacing w:after="150"/>
      </w:pPr>
      <w:r>
        <w:rPr>
          <w:b/>
          <w:bCs/>
        </w:rPr>
        <w:t xml:space="preserve">Critério medido: </w:t>
      </w:r>
      <w:r>
        <w:rPr/>
        <w:t xml:space="preserve">fração de mutantes (alterações sintéticas mínimas e deliberadas no bytecode — inverter uma condição, trocar uma constante, remover uma chamada) que a suíte de testes detecta (mata) ao falhar diante deles.</w:t>
      </w:r>
    </w:p>
    <w:p>
      <w:pPr>
        <w:pStyle w:val="Heading2"/>
        <w:spacing w:after="150" w:before="300"/>
      </w:pPr>
      <w:r>
        <w:t xml:space="preserve">Resultado geral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6"/>
        <w:gridCol w:w="1600"/>
        <w:gridCol w:w="1600"/>
      </w:tblGrid>
      <w:tr>
        <w:trPr>
          <w:tblHeader/>
        </w:trPr>
        <w:tc>
          <w:tcPr>
            <w:tcW w:type="dxa" w:w="72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Mutantes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KILLED (detectado por algum teste)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89,5%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SURVIVED (alcançado, mas nenhum teste falhou)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10,0%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NO_COVERAGE (nunca alcançado por nenhum teste)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7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gerado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rPr>
          <w:b/>
          <w:bCs/>
        </w:rPr>
        <w:t xml:space="preserve">Test Strength (mortos / alcançados = 188/209): 90,0%</w:t>
      </w:r>
      <w:r>
        <w:rPr/>
        <w:t xml:space="preserve"> — como só um mutante em todo o sistema está fora de cobertura, score e test strength praticamente coincidem. Diferente do monólito, aqui o que limita o número não é cobertura ausente: é um resíduo concentrado e explicável.</w:t>
      </w:r>
    </w:p>
    <w:p>
      <w:pPr>
        <w:spacing w:after="150"/>
      </w:pPr>
      <w:r>
        <w:rPr>
          <w:b/>
          <w:bCs/>
        </w:rPr>
        <w:t xml:space="preserve">Execuções (determinismo): </w:t>
      </w:r>
      <w:r>
        <w:rPr/>
        <w:t xml:space="preserve">2 rodadas completas nos quatro serviços, resultado idêntico em ambas — não só no total (44/50, 51/56, 69/75, 24/29), mas mutante a mutante, com o mesmo conjunto de sobreviventes.</w:t>
      </w:r>
    </w:p>
    <w:p>
      <w:pPr>
        <w:pStyle w:val="Heading2"/>
        <w:spacing w:after="150" w:before="300"/>
      </w:pPr>
      <w:r>
        <w:t xml:space="preserve">Mutation score por serviço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1800"/>
        <w:gridCol w:w="1600"/>
        <w:gridCol w:w="1900"/>
        <w:gridCol w:w="1900"/>
      </w:tblGrid>
      <w:tr>
        <w:trPr>
          <w:tblHeader/>
        </w:trPr>
        <w:tc>
          <w:tcPr>
            <w:tcW w:type="dxa" w:w="32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8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Mortos</w:t>
            </w:r>
          </w:p>
        </w:tc>
        <w:tc>
          <w:tcPr>
            <w:tcW w:type="dxa" w:w="1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9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SURVIVED</w:t>
            </w:r>
          </w:p>
        </w:tc>
        <w:tc>
          <w:tcPr>
            <w:tcW w:type="dxa" w:w="19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NO_COVERAGE</w:t>
            </w:r>
          </w:p>
        </w:tc>
      </w:tr>
      <w:tr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order-service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69/75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92,0%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51/56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91,1%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44/50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88,0%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report-service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24/29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82,8%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188/210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89,5%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pStyle w:val="Heading2"/>
        <w:spacing w:after="150" w:before="300"/>
      </w:pPr>
      <w:r>
        <w:t xml:space="preserve">Mutation score por pacote (agregado)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6"/>
        <w:gridCol w:w="3000"/>
        <w:gridCol w:w="3000"/>
      </w:tblGrid>
      <w:tr>
        <w:trPr>
          <w:tblHeader/>
        </w:trPr>
        <w:tc>
          <w:tcPr>
            <w:tcW w:type="dxa" w:w="44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3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Mortos</w:t>
            </w:r>
          </w:p>
        </w:tc>
        <w:tc>
          <w:tcPr>
            <w:tcW w:type="dxa" w:w="3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48/48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43/43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26/26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23/23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5/5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3/3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raiz (seeder)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3/3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37/58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63,8%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0/1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0,0%</w:t>
            </w:r>
          </w:p>
        </w:tc>
      </w:tr>
      <w:tr>
        <w:tc>
          <w:tcPr>
            <w:tcW w:type="dxa" w:w="44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188/210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89,5%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rPr/>
        <w:t xml:space="preserve">Todo pacote com regra de negócio está em 100%. Os 22 mutantes restantes estão inteiros em security e config — e, dentro de security, exclusivamente em SecurityConfig: o filtro JWT e o JwtService estão em 100%.</w:t>
      </w:r>
    </w:p>
    <w:p>
      <w:pPr>
        <w:pStyle w:val="Heading2"/>
        <w:spacing w:after="150" w:before="300"/>
      </w:pPr>
      <w:r>
        <w:t xml:space="preserve">Os 22 mutantes que restam, documentados por categoria</w:t>
      </w:r>
    </w:p>
    <w:p>
      <w:pPr>
        <w:spacing w:after="150"/>
      </w:pPr>
      <w:r>
        <w:rPr/>
        <w:t xml:space="preserve">Nenhum foi ignorado silenciosamente. Todos caem na mesma categoria: wiring de framework, cujo mutante só morreria dentro de um @SpringBootTest completo — o que deixaria de ser teste unitário e passaria a testar o Spring, não o sistema.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000"/>
        <w:gridCol w:w="4600"/>
      </w:tblGrid>
      <w:tr>
        <w:trPr>
          <w:tblHeader/>
        </w:trPr>
        <w:tc>
          <w:tcPr>
            <w:tcW w:type="dxa" w:w="38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 / método</w:t>
            </w:r>
          </w:p>
        </w:tc>
        <w:tc>
          <w:tcPr>
            <w:tcW w:type="dxa" w:w="20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Ocorrências</w:t>
            </w:r>
          </w:p>
        </w:tc>
        <w:tc>
          <w:tcPr>
            <w:tcW w:type="dxa" w:w="4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sobrevive</w:t>
            </w:r>
          </w:p>
        </w:tc>
      </w:tr>
      <w:tr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SecurityConfig#corsConfigurationSource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(4 por serviço)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Remover setAllowedMethods/setAllowedHeaders/registerCorsConfiguration, ou devolver null, só é observável com uma requisição CORS real atravessando a cadeia de filtros.</w:t>
            </w:r>
          </w:p>
        </w:tc>
      </w:tr>
      <w:tr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SecurityConfig#securityFilterChain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(1 por serviço)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 do HttpSecurity interno do Spring; só é construído de verdade com o contexto completo no ar.</w:t>
            </w:r>
          </w:p>
        </w:tc>
      </w:tr>
      <w:tr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SecurityConfig#passwordEncoder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(user-service)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@Bean que devolve um BCryptPasswordEncoder; o UserService recebe o encoder mockado nos testes, então a fábrica em si nunca é exercitada.</w:t>
            </w:r>
          </w:p>
        </w:tc>
      </w:tr>
      <w:tr>
        <w:tc>
          <w:tcPr>
            <w:tcW w:type="dxa" w:w="38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RestClientConfig#restClientBuilder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(order-service)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Único NO_COVERAGE do sistema. @Bean de infraestrutura que devolve o RestClient.Builder; o ProductClient é testado com MockRestServiceServer, sem passar por aqui.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rPr/>
        <w:t xml:space="preserve">O monólito documenta exatamente as mesmas duas primeiras categorias como resíduo aceito (ApplicationConfig#authenticationManager e SecurityConfig#securityFilterChain), citando Jia &amp; Harman (2011). A diferença é de multiplicidade, não de natureza: o que no monólito é 1 SecurityConfig vira 4 cópias na decomposição em microsserviços — cada serviço valida o token localmente e portanto carrega sua própria configuração de segurança. Isso multiplica por quatro um resíduo que é estruturalmente o mesmo, e é um efeito da arquitetura que vale registrar na comparação.</w:t>
      </w:r>
    </w:p>
    <w:p>
      <w:pPr>
        <w:pStyle w:val="Heading2"/>
        <w:spacing w:after="150" w:before="300"/>
      </w:pPr>
      <w:r>
        <w:t xml:space="preserve">Histórico: o efeito de cada intervenção</w:t>
      </w:r>
    </w:p>
    <w:tbl>
      <w:tblPr>
        <w:tblW w:type="dxa" w:w="10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6"/>
        <w:gridCol w:w="1400"/>
        <w:gridCol w:w="1300"/>
        <w:gridCol w:w="1500"/>
        <w:gridCol w:w="1500"/>
      </w:tblGrid>
      <w:tr>
        <w:trPr>
          <w:tblHeader/>
        </w:trPr>
        <w:tc>
          <w:tcPr>
            <w:tcW w:type="dxa" w:w="5266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4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Mortos</w:t>
            </w:r>
          </w:p>
        </w:tc>
        <w:tc>
          <w:tcPr>
            <w:tcW w:type="dxa" w:w="13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SURVIVED</w:t>
            </w:r>
          </w:p>
        </w:tc>
        <w:tc>
          <w:tcPr>
            <w:tcW w:type="dxa" w:w="15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NO_COVERAGE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Baseline (antes dos testes de controller/filtro/handler)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78/149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52,3%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Após os novos testes unitários, escopo antigo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113/149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75,8%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Após ampliar o escopo para todos os pacotes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170/210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81,0%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2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Após reforço dirigido pelos SURVIVED do PITest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188/210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89,5%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/>
      </w:pPr>
      <w:r>
        <w:rPr/>
        <w:t xml:space="preserve"/>
      </w:r>
    </w:p>
    <w:p>
      <w:pPr>
        <w:spacing w:after="150"/>
      </w:pPr>
      <w:r>
        <w:rPr/>
        <w:t xml:space="preserve">A terceira linha merece leitura cuidadosa: ampliar o escopo aumentou o total de mutantes de 149 para 210 e, ainda assim, o score subiu — sinal de que os pacotes que estavam fora da medição (controller, exception, dto, client) já estavam bem testados. O salto final veio de usar a lista de sobreviventes como roteiro, que é o uso canônico da ferramenta: os mutantes apontaram getters e caminhos de sucesso (findById, findAll) que os testes exercitavam sem afirmar nada sobre o resultado.</w:t>
      </w:r>
    </w:p>
    <w:p>
      <w:pPr>
        <w:pStyle w:val="Heading2"/>
        <w:spacing w:after="150" w:before="300"/>
      </w:pPr>
      <w:r>
        <w:t xml:space="preserve">Mudança de configuração e por que ela foi necessária</w:t>
      </w:r>
    </w:p>
    <w:p>
      <w:pPr>
        <w:spacing w:after="150"/>
      </w:pPr>
      <w:r>
        <w:rPr/>
        <w:t xml:space="preserve">A configuração original restringia a medição a três pacotes por serviço: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&lt;targetClasses&gt;</w:t>
        <w:br/>
        <w:t xml:space="preserve">    &lt;param&gt;com.tcc.order.entity.*&lt;/param&gt;</w:t>
        <w:br/>
        <w:t xml:space="preserve">    &lt;param&gt;com.tcc.order.service.*&lt;/param&gt;</w:t>
        <w:br/>
        <w:t xml:space="preserve">    &lt;param&gt;com.tcc.order.security.*&lt;/param&gt;</w:t>
        <w:br/>
        <w:t xml:space="preserve">&lt;/targetClasses&gt;</w:t>
      </w:r>
    </w:p>
    <w:p>
      <w:pPr>
        <w:spacing w:after="150"/>
      </w:pPr>
      <w:r>
        <w:rPr/>
        <w:t xml:space="preserve">Isso deixava controller, dto, exception e client fora do mutation score — enquanto o monólito mede todos os pacotes da aplicação (o relatório dele reporta, entre outros, users.controller, products.controller e users.dto). Comparar os dois números nessas condições seria comparar universos diferentes. O escopo foi então igualado ao do monólito, nos quatro serviços: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&lt;targetClasses&gt;</w:t>
        <w:br/>
        <w:t xml:space="preserve">    &lt;param&gt;com.tcc.order.*&lt;/param&gt;</w:t>
        <w:br/>
        <w:t xml:space="preserve">&lt;/targetClasses&gt;</w:t>
        <w:br/>
        <w:t xml:space="preserve">&lt;targetTests&gt;</w:t>
        <w:br/>
        <w:t xml:space="preserve">    &lt;param&gt;com.tcc.order.*&lt;/param&gt;</w:t>
        <w:br/>
        <w:t xml:space="preserve">&lt;/targetTests&gt;</w:t>
      </w:r>
    </w:p>
    <w:p>
      <w:pPr>
        <w:spacing w:after="150"/>
      </w:pPr>
      <w:r>
        <w:rPr/>
        <w:t xml:space="preserve">Ampliar targetTests tem um efeito colateral que vale conhecer: os testes de controller usam @WebMvcTest e sobem um contexto Spring parcial, então passam a ser candidatos a rodar contra mutantes. Na prática o PITest só seleciona os testes que cobrem a linha mutada, e o custo ficou entre 40 e 70 segundos por serviço — aceitável.</w:t>
      </w:r>
    </w:p>
    <w:p>
      <w:pPr>
        <w:spacing w:after="150"/>
      </w:pPr>
      <w:r>
        <w:rPr>
          <w:b/>
          <w:bCs/>
        </w:rPr>
        <w:t xml:space="preserve">Divergência de versão em aberto: </w:t>
      </w:r>
      <w:r>
        <w:rPr/>
        <w:t xml:space="preserve">o monólito foi medido com PITest 1.15.8 e estes serviços com 1.15.3, que é o que está no repositório local. São versões da mesma linha, com o mesmo conjunto DEFAULTS de mutadores, mas para rigor metodológico convém igualar as duas antes de publicar os números lado a lado.</w:t>
      </w:r>
    </w:p>
    <w:p>
      <w:pPr>
        <w:pStyle w:val="Heading2"/>
        <w:spacing w:after="150" w:before="300"/>
      </w:pPr>
      <w:r>
        <w:t xml:space="preserve">Metodologia</w:t>
      </w:r>
    </w:p>
    <w:p>
      <w:pPr>
        <w:spacing w:after="150"/>
      </w:pPr>
      <w:r>
        <w:rPr/>
        <w:t xml:space="preserve">Diferente do JaCoCo, o PITest não está preso ao ciclo de vida padrão do Maven — precisa do goal explícito. E, importante: o goal </w:t>
      </w:r>
      <w:r>
        <w:rPr>
          <w:b/>
          <w:bCs/>
        </w:rPr>
        <w:t xml:space="preserve">não compila</w:t>
      </w:r>
      <w:r>
        <w:rPr/>
        <w:t xml:space="preserve"> o projeto. Rodá-lo isolado mede as classes de teste da compilação anterior, o que produz silenciosamente um resultado defasado. A ordem correta é: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cd &lt;servico&gt;</w:t>
        <w:br/>
        <w:t xml:space="preserve">mvn test                                        # compila e roda a suíte</w:t>
        <w:br/>
        <w:t xml:space="preserve">mvn org.pitest:pitest-maven:mutationCoverage    # mede sobre o que acabou de compilar</w:t>
        <w:br/>
        <w:t xml:space="preserve"># relatório em target/pit-reports/index.html</w:t>
      </w:r>
    </w:p>
    <w:p>
      <w:pPr>
        <w:spacing w:after="150"/>
      </w:pPr>
      <w:r>
        <w:rPr/>
        <w:t xml:space="preserve">A configuração vive no pom.xml de cada serviço individualmente, com mutadores DEFAULTS e saída em XML e HTML.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2026-08-21T22:54:46.921Z</dcterms:created>
  <dcterms:modified xsi:type="dcterms:W3CDTF">2026-08-21T22:54:46.921Z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