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Violações Arquiteturais (ArchUnit)</w:t>
      </w:r>
    </w:p>
    <w:p>
      <w:pPr>
        <w:spacing w:after="60"/>
      </w:pPr>
      <w:r>
        <w:rPr>
          <w:b/>
          <w:bCs/>
        </w:rPr>
        <w:t xml:space="preserve">Ferramenta: </w:t>
      </w:r>
      <w:r>
        <w:rPr/>
        <w:t xml:space="preserve">ArchUnit 1.2.1 (archunit-junit5)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  <w:bCs/>
        </w:rPr>
        <w:t xml:space="preserve">Critério medido: </w:t>
      </w:r>
      <w:r>
        <w:rPr/>
        <w:t xml:space="preserve">densidade de violações — dependências reais no bytecode compilado que contradizem regras de arquitetura declaradas explicitamente, verificadas estaticamente a cada execução de mvn test. Mesma ferramenta, mesma versão e mesmo critério do monólito de referência.</w:t>
      </w:r>
    </w:p>
    <w:p>
      <w:pPr>
        <w:pStyle w:val="Heading2"/>
        <w:spacing w:after="150" w:before="300"/>
      </w:pPr>
      <w:r>
        <w:t xml:space="preserve">Resultado atual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6"/>
        <w:gridCol w:w="1600"/>
        <w:gridCol w:w="1600"/>
      </w:tblGrid>
      <w:tr>
        <w:trPr>
          <w:tblHeader/>
        </w:trPr>
        <w:tc>
          <w:tcPr>
            <w:tcW w:type="dxa" w:w="72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Suíte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Regras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Violações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rPr/>
        <w:t xml:space="preserve">Não existe suíte agregada: cada serviço é um módulo Maven independente e roda suas próprias regras. O total de 17 é a soma de quatro execuções separadas. O resultado se repete em todas as execuções — ArchUnit lê bytecode compilado de forma estática, sem dependência de ordem, relógio ou estado externo.</w:t>
      </w:r>
    </w:p>
    <w:p>
      <w:pPr>
        <w:pStyle w:val="Heading2"/>
        <w:spacing w:after="150" w:before="300"/>
      </w:pPr>
      <w:r>
        <w:t xml:space="preserve">As 17 regras</w:t>
      </w:r>
    </w:p>
    <w:p>
      <w:pPr>
        <w:spacing w:after="150"/>
      </w:pPr>
      <w:r>
        <w:rPr/>
        <w:t xml:space="preserve">Seis regras distintas, aplicadas a cada serviço conforme as camadas que ele realmente tem. O report-service, por exemplo, não tem banco próprio — logo não tem entidade JPA nem repositório, e as regras correspondentes não se aplicam a ele.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4766"/>
        <w:gridCol w:w="1600"/>
      </w:tblGrid>
      <w:tr>
        <w:trPr>
          <w:tblHeader/>
        </w:trPr>
        <w:tc>
          <w:tcPr>
            <w:tcW w:type="dxa" w:w="7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47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controllersShouldNotAccessRepositoriesDirectly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classe em ..controller.. depende de ..repository.. — o acesso ao domínio passa obrigatoriamente pela camada de Service.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controllersShouldNotDependOnEntities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classe anotada com @RestController depende de classe anotada com @Entity — a borda HTTP fala em DTO, nunca em entidade JPA.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namingConventionShouldBeRespected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@RestController termina em Controller, @Service em Service e @Repository em Repository. Convenção de camada verificada, não confiada.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quatro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repositoriesShouldOnlyBeAccessedByServices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em ..repository.. só são acessadas de ..service.. — impede que qualquer outra camada abra atalho para o banco.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onlyServiceShouldAccessClient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em ..client.. (o RestClient que fala com outro serviço) só são acessadas de ..service.. ou do próprio ..client.. — a chamada remota é decisão de negócio, não de controller.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order, report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shouldNotDependOnOtherServicesPackages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classe do serviço depende de com.tcc.&lt;outro-serviço&gt;.. — ver ressalva na seção seguinte.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order, report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  <w:spacing w:after="150" w:before="300"/>
      </w:pPr>
      <w:r>
        <w:t xml:space="preserve">Por que 0 violações aqui não significa o mesmo que 0 violações no monólito</w:t>
      </w:r>
    </w:p>
    <w:p>
      <w:pPr>
        <w:spacing w:after="150"/>
      </w:pPr>
      <w:r>
        <w:rPr/>
        <w:t xml:space="preserve">Esta é a leitura mais importante do relatório, e ela precisa ser feita com cuidado para não virar uma conclusão fácil demais. O monólito também está em 0 violações hoje — mas chegou lá </w:t>
      </w:r>
      <w:r>
        <w:rPr>
          <w:b/>
          <w:bCs/>
        </w:rPr>
        <w:t xml:space="preserve">corrigindo 11 violações reais</w:t>
      </w:r>
      <w:r>
        <w:rPr/>
        <w:t xml:space="preserve"> que as regras encontraram na primeira execução. Aqui nunca houve violação a corrigir. A diferença não é disciplina de código: é que duas das três categorias de violação encontradas lá são </w:t>
      </w:r>
      <w:r>
        <w:rPr>
          <w:b/>
          <w:bCs/>
        </w:rPr>
        <w:t xml:space="preserve">impossíveis de existir</w:t>
      </w:r>
      <w:r>
        <w:rPr/>
        <w:t xml:space="preserve"> nesta arquitetura.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6"/>
        <w:gridCol w:w="1400"/>
        <w:gridCol w:w="4400"/>
      </w:tblGrid>
      <w:tr>
        <w:trPr>
          <w:tblHeader/>
        </w:trPr>
        <w:tc>
          <w:tcPr>
            <w:tcW w:type="dxa" w:w="46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Violação encontrada no monólito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Ocorrências</w:t>
            </w:r>
          </w:p>
        </w:tc>
        <w:tc>
          <w:tcPr>
            <w:tcW w:type="dxa" w:w="4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 nesta arquitetura</w:t>
            </w:r>
          </w:p>
        </w:tc>
      </w:tr>
      <w:tr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OrderService.create() chamava Product.getId()/getName()/getPrice() diretamente sobre a entidade JPA de products.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Impossível. A classe Product não existe no classpath do order-service. Ele só enxerga ProductDto, um record local que espelha o contrato HTTP do product-service.</w:t>
            </w:r>
          </w:p>
        </w:tc>
      </w:tr>
      <w:tr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ReportService injetava OrderRepository diretamente para agregar vendas, ignorando OrderService.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Impossível. O report-service não tem repositório algum nem acesso ao banco do order-service; a agregação parte de OrderClient, via HTTP.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rPr/>
        <w:t xml:space="preserve">Ou seja: as 11 violações que o ArchUnit precisou detectar no monólito correspondem, nos microsserviços, a código que sequer compilaria. É exatamente o argumento que o relatório do monólito antecipa — a fronteira que lá existe só por convenção, e portanto precisa de verificação automatizada para ser mantida, aqui é imposta pela ausência de classpath compartilhado. A densidade de violações do monólito é a medida do que a separação física substitui.</w:t>
      </w:r>
    </w:p>
    <w:p>
      <w:pPr>
        <w:pStyle w:val="Heading2"/>
        <w:spacing w:after="150" w:before="300"/>
      </w:pPr>
      <w:r>
        <w:t xml:space="preserve">Ressalva: a regra 6 não pode falhar por acoplamento comum</w:t>
      </w:r>
    </w:p>
    <w:p>
      <w:pPr>
        <w:spacing w:after="150"/>
      </w:pPr>
      <w:r>
        <w:rPr/>
        <w:t xml:space="preserve">A regra shouldNotDependOnOtherServicesPackages, presente em order-service e report-service, declara que nenhuma classe do serviço deve depender dos pacotes raiz dos outros três serviços. Ela passa — mas seria desonesto apresentá-la como evidência de disciplina arquitetural, porque nas condições atuais ela </w:t>
      </w:r>
      <w:r>
        <w:rPr>
          <w:b/>
          <w:bCs/>
        </w:rPr>
        <w:t xml:space="preserve">não tem como falhar</w:t>
      </w:r>
      <w:r>
        <w:rPr/>
        <w:t xml:space="preserve">: as classes dos outros serviços não estão no classpath de compilação, então uma dependência dessas não chegaria a virar bytecode. O código não compilaria antes de o ArchUnit rodar.</w:t>
      </w:r>
    </w:p>
    <w:p>
      <w:pPr>
        <w:spacing w:after="150"/>
      </w:pPr>
      <w:r>
        <w:rPr/>
        <w:t xml:space="preserve">Isso não a torna inútil, e vale precisar o que ela de fato protege. Ela dispararia num cenário específico e bem real: se alguém declarasse outro serviço como dependência Maven no pom.xml, recriando o classpath compartilhado. Esse é justamente o movimento que desfaria a decomposição — e o experimento inteiro junto. A regra é, portanto, um guarda-corpo contra uma regressão de build, não contra acoplamento indevido no código-fonte. É uma garantia diferente da que as regras 4 a 7 do monólito oferecem, onde o acoplamento proibido compila sem reclamação nenhuma.</w:t>
      </w:r>
    </w:p>
    <w:p>
      <w:pPr>
        <w:pStyle w:val="Heading2"/>
        <w:spacing w:after="150" w:before="300"/>
      </w:pPr>
      <w:r>
        <w:t xml:space="preserve">Uma assimetria que vale registrar</w:t>
      </w:r>
    </w:p>
    <w:p>
      <w:pPr>
        <w:spacing w:after="150"/>
      </w:pPr>
      <w:r>
        <w:rPr/>
        <w:t xml:space="preserve">As regras não estão distribuídas de forma uniforme entre os quatro serviços, e nem toda diferença se justifica pela arquitetura:</w:t>
      </w:r>
    </w:p>
    <w:p>
      <w:pPr>
        <w:spacing w:after="80"/>
        <w:ind w:left="360" w:hanging="180"/>
      </w:pPr>
      <w:r>
        <w:rPr/>
        <w:t xml:space="preserve">• </w:t>
      </w:r>
      <w:r>
        <w:rPr>
          <w:b/>
          <w:bCs/>
        </w:rPr>
        <w:t xml:space="preserve">Justificadas. </w:t>
      </w:r>
      <w:r>
        <w:rPr/>
        <w:t xml:space="preserve">O report-service não declara as regras 1, 2 e 4 porque não tem entidade nem repositório — não há banco próprio. O user-service e o product-service não declaram a regra 5 porque não têm client HTTP: ninguém sai deles para outro serviço.</w:t>
      </w:r>
    </w:p>
    <w:p>
      <w:pPr>
        <w:spacing w:after="80"/>
        <w:ind w:left="360" w:hanging="180"/>
      </w:pPr>
      <w:r>
        <w:rPr/>
        <w:t xml:space="preserve">• </w:t>
      </w:r>
      <w:r>
        <w:rPr>
          <w:b/>
          <w:bCs/>
        </w:rPr>
        <w:t xml:space="preserve">Não justificada. </w:t>
      </w:r>
      <w:r>
        <w:rPr/>
        <w:t xml:space="preserve">O user-service e o product-service não declaram a regra 6, embora ela se aplique a eles tanto quanto aos outros dois. Com a fronteira física em vigor isso não produz risco imediato — mas, para o experimento, significa que o guarda-corpo contra a dependência Maven entre serviços existe em metade do sistema apenas. Padronizar custaria um método de teste em cada uma das duas suítes e deixaria a contagem em 19 regras, com cobertura uniforme.</w:t>
      </w:r>
    </w:p>
    <w:p>
      <w:pPr>
        <w:pStyle w:val="Heading2"/>
        <w:spacing w:after="150" w:before="300"/>
      </w:pPr>
      <w:r>
        <w:t xml:space="preserve">Metodologia</w:t>
      </w:r>
    </w:p>
    <w:p>
      <w:pPr>
        <w:spacing w:after="150"/>
      </w:pPr>
      <w:r>
        <w:rPr/>
        <w:t xml:space="preserve">As regras rodam como parte normal de mvn test, em JUnit 5, sem goal ou configuração adicional. Cada ArchitectureTest importa exclusivamente o próprio pacote raiz do serviço, com os testes fora do escopo de análise: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importedClasses = new ClassFileImporter()</w:t>
        <w:br/>
        <w:t xml:space="preserve">        .withImportOption(ImportOption.Predefined.DO_NOT_INCLUDE_TESTS)</w:t>
        <w:br/>
        <w:t xml:space="preserve">        .importPackages("com.tcc.order");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&lt;servico&gt; &amp;&amp; mvn test</w:t>
        <w:br/>
        <w:t xml:space="preserve"># ArchitectureTest aparece no relatório do Surefire como qualquer outra classe de teste</w:t>
      </w:r>
    </w:p>
    <w:p>
      <w:pPr>
        <w:spacing w:after="150"/>
      </w:pPr>
      <w:r>
        <w:rPr/>
        <w:t xml:space="preserve">Código-fonte das regras: src/test/java/com/tcc/&lt;servico&gt;/architecture/ArchitectureTest.java, em cada um dos quatro módulos.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