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Pontifícia Universidade Católica do Paraná</w:t>
      </w:r>
    </w:p>
    <w:p>
      <w:pPr>
        <w:spacing w:after="480"/>
        <w:jc w:val="center"/>
      </w:pPr>
      <w:r>
        <w:rPr>
          <w:sz w:val="22"/>
          <w:szCs w:val="22"/>
        </w:rPr>
        <w:t xml:space="preserve">Trabalho de Conclusão de Curso em Engenharia de Software Experimental</w:t>
      </w:r>
    </w:p>
    <w:p>
      <w:pPr>
        <w:spacing w:after="120"/>
        <w:jc w:val="center"/>
        <w:rPr>
          <w:b/>
          <w:bCs/>
        </w:rPr>
      </w:pPr>
      <w:r>
        <w:rPr>
          <w:b/>
          <w:bCs/>
          <w:sz w:val="38"/>
          <w:szCs w:val="38"/>
        </w:rPr>
        <w:t xml:space="preserve">Relatório de Acoplamento (CBO)</w:t>
      </w:r>
    </w:p>
    <w:p>
      <w:pPr>
        <w:spacing w:after="480"/>
        <w:jc w:val="center"/>
      </w:pPr>
      <w:r>
        <w:rPr>
          <w:sz w:val="24"/>
          <w:szCs w:val="24"/>
        </w:rPr>
        <w:t xml:space="preserve">Versão em microsserviços do experimento: medição com ck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3"/>
        <w:gridCol w:w="6772"/>
      </w:tblGrid>
      <w:tr>
        <w:trPr>
          <w:tblHeader/>
        </w:trP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Sistema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TCC_microservice: user-service, product-service, order-service, report-service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Código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,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13e58b9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Ferramenta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ck 0.7.0 (com.github.mauricioaniche:ck), sobre o código-fonte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Comando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java -cp &lt;ck e dependências&gt; com.github.mauricioaniche.ck.Runner &lt;servico&gt;/src/main/java false 0 false &lt;saída&gt;/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Eclipse Temurin 21.0.12.1 · Maven 3.9.16 · Spring Boot 3.2.0 · Windows 10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 da coleta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19/10/2026 (arquivos brutos), referência de 30/09/2026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Verificações independentes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máquinas, resultado idêntico (seção de determinismo)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Arquivos brutos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docs/reports/ck/&lt;servico&gt;/class.csv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method.csv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1 – Identificação da medição.</w:t>
      </w:r>
    </w:p>
    <w:p>
      <w:pPr>
        <w:pStyle w:val="Heading1"/>
      </w:pPr>
      <w:r>
        <w:t xml:space="preserve">1. O que este relatório mede</w:t>
      </w:r>
    </w:p>
    <w:p>
      <w:pPr>
        <w:spacing w:after="160"/>
        <w:jc w:val="both"/>
      </w:pPr>
      <w:r>
        <w:t xml:space="preserve">CBO (Coupling Between Objects) é o número de outros tipos de que uma classe depende: campos, parâmetros, retornos, exceções, anotações e chamadas. É a métrica de acoplamento estrutural do protocolo GQM, usada como indicador do esforço de isolamento nos testes: quanto mais dependências uma classe tem, mais coisas precisam ser substituídas por mocks para testá-la sozinha.</w:t>
      </w:r>
    </w:p>
    <w:p>
      <w:pPr>
        <w:pStyle w:val="Heading1"/>
      </w:pPr>
      <w:r>
        <w:t xml:space="preserve">2. Como a medição foi feita</w:t>
      </w:r>
    </w:p>
    <w:p>
      <w:pPr>
        <w:spacing w:after="160"/>
        <w:jc w:val="both"/>
      </w:pPr>
      <w:r>
        <w:t xml:space="preserve">O ck analisa o código-fonte, sem precisar compilar. Foi rodado uma vez por serviço, sobre </w:t>
      </w:r>
      <w:r>
        <w:rPr>
          <w:rFonts w:ascii="Consolas" w:cs="Consolas" w:eastAsia="Consolas" w:hAnsi="Consolas"/>
          <w:sz w:val="20"/>
          <w:szCs w:val="20"/>
        </w:rPr>
        <w:t xml:space="preserve">src/main/java</w:t>
      </w:r>
      <w:r>
        <w:t xml:space="preserve"> (só produção), na mesma versão usada no monólito: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-cp "&lt;ck-0.7.0.jar e dependências&gt;" com.github.mauricioaniche.ck.Runner \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&lt;servico&gt;/src/main/java false 0 false docs/reports/ck/&lt;servico&gt;/</w:t>
      </w:r>
    </w:p>
    <w:p>
      <w:pPr>
        <w:spacing w:after="160"/>
        <w:jc w:val="both"/>
      </w:pPr>
      <w:r>
        <w:t xml:space="preserve">O ck gera uma linha por tipo Java no </w:t>
      </w:r>
      <w:r>
        <w:rPr>
          <w:rFonts w:ascii="Consolas" w:cs="Consolas" w:eastAsia="Consolas" w:hAnsi="Consolas"/>
          <w:sz w:val="20"/>
          <w:szCs w:val="20"/>
        </w:rPr>
        <w:t xml:space="preserve">class.csv</w:t>
      </w:r>
      <w:r>
        <w:t xml:space="preserve">, com o tipo na coluna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class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interface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enum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</w:rPr>
        <w:t xml:space="preserve">anonymous</w:t>
      </w:r>
      <w:r>
        <w:t xml:space="preserve">) e o CBO na coluna </w:t>
      </w:r>
      <w:r>
        <w:rPr>
          <w:rFonts w:ascii="Consolas" w:cs="Consolas" w:eastAsia="Consolas" w:hAnsi="Consolas"/>
          <w:sz w:val="20"/>
          <w:szCs w:val="20"/>
        </w:rPr>
        <w:t xml:space="preserve">cbo</w:t>
      </w:r>
      <w:r>
        <w:t xml:space="preserve">. O código de produção não mudou desde a primeira medição de CBO, e os valores por classe são os mesmos.</w:t>
      </w:r>
    </w:p>
    <w:p>
      <w:pPr>
        <w:pStyle w:val="Heading1"/>
      </w:pPr>
      <w:r>
        <w:t xml:space="preserve">3. Critério de contagem: uma correção</w:t>
      </w:r>
    </w:p>
    <w:p>
      <w:pPr>
        <w:spacing w:after="160"/>
        <w:jc w:val="both"/>
      </w:pPr>
      <w:r>
        <w:t xml:space="preserve">Os dois lados do experimento filtraram os tipos de forma diferente antes de calcular a média: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Monólito:</w:t>
      </w:r>
      <w:r>
        <w:t xml:space="preserve"> excluiu só as classes anônimas, que são as constantes do enum </w:t>
      </w:r>
      <w:r>
        <w:rPr>
          <w:rFonts w:ascii="Consolas" w:cs="Consolas" w:eastAsia="Consolas" w:hAnsi="Consolas"/>
          <w:sz w:val="20"/>
          <w:szCs w:val="20"/>
        </w:rPr>
        <w:t xml:space="preserve">OrderStatus</w:t>
      </w:r>
      <w:r>
        <w:t xml:space="preserve"> com método próprio, e manteve interfaces e enums.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Relatório anterior de microsserviços:</w:t>
      </w:r>
      <w:r>
        <w:t xml:space="preserve"> manteve só </w:t>
      </w:r>
      <w:r>
        <w:rPr>
          <w:rFonts w:ascii="Consolas" w:cs="Consolas" w:eastAsia="Consolas" w:hAnsi="Consolas"/>
          <w:sz w:val="20"/>
          <w:szCs w:val="20"/>
        </w:rPr>
        <w:t xml:space="preserve">type = class</w:t>
      </w:r>
      <w:r>
        <w:t xml:space="preserve">, ou seja, excluiu também os repositórios Spring Data (interfaces) e os enums.</w:t>
      </w:r>
    </w:p>
    <w:p>
      <w:pPr>
        <w:spacing w:after="160"/>
        <w:jc w:val="both"/>
      </w:pPr>
      <w:r>
        <w:t xml:space="preserve">A comparação publicada antes (7,45 no monólito contra 6,71 aqui) misturava os dois critérios. Calculado dos dois lados com cada critério: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26"/>
        <w:gridCol w:w="2539"/>
        <w:gridCol w:w="2540"/>
      </w:tblGrid>
      <w:tr>
        <w:trPr>
          <w:tblHeader/>
        </w:trPr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2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Monólito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Microsserviços</w:t>
            </w:r>
          </w:p>
        </w:tc>
      </w:tr>
      <w:tr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Sem classes anônimas (critério do monólito, adotado)</w:t>
            </w:r>
          </w:p>
        </w:tc>
        <w:tc>
          <w:tcPr>
            <w:tcW w:type="dxa" w:w="2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29 tipos · 7,45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53 tipos · 6,26</w:t>
            </w:r>
          </w:p>
        </w:tc>
      </w:tr>
      <w:tr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Só type = class (critério do relatório anterior)</w:t>
            </w:r>
          </w:p>
        </w:tc>
        <w:tc>
          <w:tcPr>
            <w:tcW w:type="dxa" w:w="2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24 tipos · 8,46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48 tipos · 6,71</w:t>
            </w:r>
          </w:p>
        </w:tc>
      </w:tr>
      <w:tr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Todos os tipos</w:t>
            </w:r>
          </w:p>
        </w:tc>
        <w:tc>
          <w:tcPr>
            <w:tcW w:type="dxa" w:w="2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34 tipos · 6,50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59 tipos · 5,71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2 – CBO médio sob cada critério. Monólito reconferido no class.csv do commit 1c05487.</w:t>
      </w:r>
    </w:p>
    <w:p>
      <w:pPr>
        <w:spacing w:after="160"/>
        <w:jc w:val="both"/>
      </w:pPr>
      <w:r>
        <w:t xml:space="preserve">A direção não muda em nenhum critério: o CBO médio dos microsserviços é menor. A magnitude muda. O valor de referência passa a ser </w:t>
      </w:r>
      <w:r>
        <w:rPr>
          <w:b/>
          <w:bCs/>
        </w:rPr>
        <w:t xml:space="preserve">6,26</w:t>
      </w:r>
      <w:r>
        <w:t xml:space="preserve">, calculado com o mesmo critério do monólito.</w:t>
      </w:r>
    </w:p>
    <w:p>
      <w:pPr>
        <w:pStyle w:val="Heading1"/>
      </w:pPr>
      <w:r>
        <w:t xml:space="preserve">4. Resultado por serviço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7"/>
        <w:gridCol w:w="1129"/>
        <w:gridCol w:w="1505"/>
        <w:gridCol w:w="1505"/>
        <w:gridCol w:w="3009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Tipos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 médio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 máximo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 com CBO máximo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user-service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6,07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UserService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product-service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6,73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ProductController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6,17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OrderController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report-service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6,22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SecurityConfig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Agregado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53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6,26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3 – CBO por serviço, sem classes anônimas.</w:t>
      </w:r>
    </w:p>
    <w:p>
      <w:pPr>
        <w:pStyle w:val="Heading1"/>
      </w:pPr>
      <w:r>
        <w:t xml:space="preserve">5. Resultado por camada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3"/>
        <w:gridCol w:w="1881"/>
        <w:gridCol w:w="2821"/>
      </w:tblGrid>
      <w:tr>
        <w:trPr>
          <w:tblHeader/>
        </w:trP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Tipos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 médio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13,40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9,50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8,83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8,00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6,33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4,00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3,00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2,80</w:t>
            </w:r>
          </w:p>
        </w:tc>
      </w:tr>
      <w:tr>
        <w:tc>
          <w:tcPr>
            <w:tcW w:type="dxa" w:w="4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2,40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4 – CBO por camada, agregado dos quatro serviços.</w:t>
      </w:r>
    </w:p>
    <w:p>
      <w:pPr>
        <w:spacing w:after="160"/>
        <w:jc w:val="both"/>
      </w:pPr>
      <w:r>
        <w:t xml:space="preserve">Os controllers concentram o maior CBO médio, como no monólito: dependem dos DTOs de entrada e saída, do service e da infraestrutura de segurança (</w:t>
      </w:r>
      <w:r>
        <w:rPr>
          <w:rFonts w:ascii="Consolas" w:cs="Consolas" w:eastAsia="Consolas" w:hAnsi="Consolas"/>
          <w:sz w:val="20"/>
          <w:szCs w:val="20"/>
        </w:rPr>
        <w:t xml:space="preserve">AuthenticatedPrincipal</w:t>
      </w:r>
      <w:r>
        <w:t xml:space="preserve">). As exceções têm CBO baixo por construção: são classes folha.</w:t>
      </w:r>
    </w:p>
    <w:p>
      <w:pPr>
        <w:pStyle w:val="Heading1"/>
      </w:pPr>
      <w:r>
        <w:t xml:space="preserve">6. Ressalva: o acoplamento entre domínios mudou de forma</w:t>
      </w:r>
    </w:p>
    <w:p>
      <w:pPr>
        <w:spacing w:after="160"/>
        <w:jc w:val="both"/>
      </w:pPr>
      <w:r>
        <w:t xml:space="preserve">No monólito, uma chamada de </w:t>
      </w:r>
      <w:r>
        <w:rPr>
          <w:rFonts w:ascii="Consolas" w:cs="Consolas" w:eastAsia="Consolas" w:hAnsi="Consolas"/>
          <w:sz w:val="20"/>
          <w:szCs w:val="20"/>
        </w:rPr>
        <w:t xml:space="preserve">OrderService</w:t>
      </w:r>
      <w:r>
        <w:t xml:space="preserve"> para regras de produto é uma dependência Java direta, que o CBO conta. Na decomposição, a dependência de domínio continua existindo (o order-service precisa consultar e ajustar estoque), mas virou contrato HTTP. Dentro do processo, ela sobra em classes cliente dedicadas: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order-service.ProductClient</w:t>
      </w:r>
      <w:r>
        <w:t xml:space="preserve">: CBO 9.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report-service.OrderClient</w:t>
      </w:r>
      <w:r>
        <w:t xml:space="preserve">: CBO 7.</w:t>
      </w:r>
    </w:p>
    <w:p>
      <w:pPr>
        <w:spacing w:after="160"/>
        <w:jc w:val="both"/>
      </w:pPr>
      <w:r>
        <w:t xml:space="preserve">O restante da dependência virou formato de payload, endpoint e disponibilidade do serviço remoto, que o CBO não mede. Esse acoplamento é real e tem custo de teste: é por causa dele que existem os testes com </w:t>
      </w:r>
      <w:r>
        <w:rPr>
          <w:rFonts w:ascii="Consolas" w:cs="Consolas" w:eastAsia="Consolas" w:hAnsi="Consolas"/>
          <w:sz w:val="20"/>
          <w:szCs w:val="20"/>
        </w:rPr>
        <w:t xml:space="preserve">MockRestServiceServer</w:t>
      </w:r>
      <w:r>
        <w:t xml:space="preserve">. </w:t>
      </w:r>
      <w:r>
        <w:rPr>
          <w:b/>
          <w:bCs/>
        </w:rPr>
        <w:t xml:space="preserve">Não é correto ler a queda do CBO como "a decomposição reduziu o acoplamento entre os domínios".</w:t>
      </w:r>
      <w:r>
        <w:t xml:space="preserve"> O que caiu foi o acoplamento estático em código Java.</w:t>
      </w:r>
    </w:p>
    <w:p>
      <w:pPr>
        <w:pStyle w:val="Heading1"/>
      </w:pPr>
      <w:r>
        <w:t xml:space="preserve">7. Detalhe por classe</w:t>
      </w:r>
    </w:p>
    <w:p>
      <w:pPr>
        <w:pStyle w:val="Heading2"/>
      </w:pPr>
      <w:r>
        <w:t xml:space="preserve">user-service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8"/>
        <w:gridCol w:w="1505"/>
        <w:gridCol w:w="2445"/>
        <w:gridCol w:w="1317"/>
      </w:tblGrid>
      <w:tr>
        <w:trPr>
          <w:tblHeader/>
        </w:trP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UserController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JwtAuthenticationFilter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DatabaseSeeder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UserRepository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UserServiceApplication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DuplicateEmailException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InvalidCredentialsException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UserNotFoundException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UserRole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5 – CBO por classe, user-service (class.csv, sem classes anônimas).</w:t>
      </w:r>
    </w:p>
    <w:p>
      <w:pPr>
        <w:pStyle w:val="Heading2"/>
      </w:pPr>
      <w:r>
        <w:t xml:space="preserve">product-service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8"/>
        <w:gridCol w:w="1505"/>
        <w:gridCol w:w="2445"/>
        <w:gridCol w:w="1317"/>
      </w:tblGrid>
      <w:tr>
        <w:trPr>
          <w:tblHeader/>
        </w:trP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ProductController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JwtAuthenticationFilter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ProductRepository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ProductServiceApplication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InsufficientStockException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ProductNotFoundException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6 – CBO por classe, product-service (class.csv, sem classes anônimas).</w:t>
      </w:r>
    </w:p>
    <w:p>
      <w:pPr>
        <w:pStyle w:val="Heading2"/>
      </w:pPr>
      <w:r>
        <w:t xml:space="preserve">order-service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8"/>
        <w:gridCol w:w="1505"/>
        <w:gridCol w:w="2445"/>
        <w:gridCol w:w="1317"/>
      </w:tblGrid>
      <w:tr>
        <w:trPr>
          <w:tblHeader/>
        </w:trP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OrderController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JwtAuthenticationFilter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ProductClient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OrderItem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RestClientConfig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OrderRepository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OrderServiceApplication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InvalidStatusTransitionException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OrderStatus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InsufficientStockException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OrderNotFoundException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ProductNotFoundException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ProductServiceUnavailableException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7 – CBO por classe, order-service (class.csv, sem classes anônimas).</w:t>
      </w:r>
    </w:p>
    <w:p>
      <w:pPr>
        <w:pStyle w:val="Heading2"/>
      </w:pPr>
      <w:r>
        <w:t xml:space="preserve">report-service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8"/>
        <w:gridCol w:w="1505"/>
        <w:gridCol w:w="2445"/>
        <w:gridCol w:w="1317"/>
      </w:tblGrid>
      <w:tr>
        <w:trPr>
          <w:tblHeader/>
        </w:trP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CBO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JwtAuthenticationFilter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ReportController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OrderClient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JwtService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ReportServiceApplication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OrderServiceUnavailableException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8 – CBO por classe, report-service (class.csv, sem classes anônimas).</w:t>
      </w:r>
    </w:p>
    <w:p>
      <w:pPr>
        <w:pStyle w:val="Heading1"/>
      </w:pPr>
      <w:r>
        <w:t xml:space="preserve">8. Comparação com o monólito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8"/>
        <w:gridCol w:w="3104"/>
        <w:gridCol w:w="3103"/>
      </w:tblGrid>
      <w:tr>
        <w:trPr>
          <w:tblHeader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Monólito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Microsserviços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Versão do ck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0.7.0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0.7.0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Tipos analisados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CBO médio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7,45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6,26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Critério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sem classes anônimas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sem classes anônimas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9 – Comparação do CBO com o mesmo critério.</w:t>
      </w:r>
    </w:p>
    <w:p>
      <w:pPr>
        <w:spacing w:after="160"/>
        <w:jc w:val="both"/>
      </w:pPr>
      <w:r>
        <w:t xml:space="preserve">Os denominadores não são comparáveis diretamente: 53 tipos contra 29. Uma parte dos tipos a mais são cópias (filtro JWT, </w:t>
      </w:r>
      <w:r>
        <w:rPr>
          <w:rFonts w:ascii="Consolas" w:cs="Consolas" w:eastAsia="Consolas" w:hAnsi="Consolas"/>
          <w:sz w:val="20"/>
          <w:szCs w:val="20"/>
        </w:rPr>
        <w:t xml:space="preserve">JwtService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SecurityConfig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GlobalExceptionHandler</w:t>
      </w:r>
      <w:r>
        <w:t xml:space="preserve"> e exceções em cada serviço), que entram na média com CBO baixo ou médio. A média menor reflete também essa replicação, e não só uma redução de dependências.</w:t>
      </w:r>
    </w:p>
    <w:p>
      <w:pPr>
        <w:pStyle w:val="Heading1"/>
      </w:pPr>
      <w:r>
        <w:t xml:space="preserve">9. Como reproduzir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projeto Maven auxiliar com com.github.mauricioaniche:ck:0.7.0 como única dependência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mvn dependency:copy-dependencies -DoutputDirectory=libs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-cp "libs/*" com.github.mauricioaniche.ck.Runner \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&lt;servico&gt;/src/main/java false 0 false docs/reports/ck/&lt;servico&gt;/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recalcular as médias a partir dos class.csv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docs/reports/extrair_metricas.py</w:t>
      </w:r>
    </w:p>
    <w:sectPr>
      <w:footerReference w:type="default" r:id="rId6"/>
      <w:pgSz w:w="12240" w:h="15840" w:orient="portrait"/>
      <w:pgMar w:top="1417" w:right="1134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Acoplamento | ck 0.7.0 | microsserviços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Relatorio-Acoplamento-CBO-ck</dc:title>
  <dc:creator>TCC PUCPR — Microsserviços</dc:creator>
  <cp:lastModifiedBy>Un-named</cp:lastModifiedBy>
  <cp:revision>1</cp:revision>
  <dcterms:created xsi:type="dcterms:W3CDTF">2026-10-19T14:06:53.745Z</dcterms:created>
  <dcterms:modified xsi:type="dcterms:W3CDTF">2026-10-19T14:06:53.745Z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